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7B" w:rsidRPr="007229FF" w:rsidRDefault="00296D7B" w:rsidP="00296D7B">
      <w:pPr>
        <w:jc w:val="center"/>
        <w:rPr>
          <w:rFonts w:asciiTheme="majorHAnsi" w:hAnsiTheme="majorHAnsi" w:cstheme="majorHAnsi"/>
          <w:b/>
          <w:bCs/>
          <w:color w:val="000000"/>
        </w:rPr>
      </w:pPr>
      <w:bookmarkStart w:id="0" w:name="bookmark=id.2000pp968waf" w:colFirst="0" w:colLast="0"/>
      <w:bookmarkStart w:id="1" w:name="bookmark=id.q4tqms6rkljy" w:colFirst="0" w:colLast="0"/>
      <w:bookmarkStart w:id="2" w:name="bookmark=id.w25gvd65oz2y" w:colFirst="0" w:colLast="0"/>
      <w:bookmarkEnd w:id="0"/>
      <w:bookmarkEnd w:id="1"/>
      <w:bookmarkEnd w:id="2"/>
      <w:r w:rsidRPr="007229FF">
        <w:rPr>
          <w:rFonts w:asciiTheme="majorHAnsi" w:hAnsiTheme="majorHAnsi" w:cstheme="majorHAnsi"/>
          <w:noProof/>
          <w:lang w:val="en-GB"/>
        </w:rPr>
        <w:drawing>
          <wp:anchor distT="0" distB="0" distL="114300" distR="114300" simplePos="0" relativeHeight="251659264" behindDoc="0" locked="0" layoutInCell="1" hidden="0" allowOverlap="1" wp14:anchorId="6348F86A" wp14:editId="016EF83E">
            <wp:simplePos x="0" y="0"/>
            <wp:positionH relativeFrom="column">
              <wp:posOffset>2257425</wp:posOffset>
            </wp:positionH>
            <wp:positionV relativeFrom="paragraph">
              <wp:posOffset>-628649</wp:posOffset>
            </wp:positionV>
            <wp:extent cx="1069521" cy="838200"/>
            <wp:effectExtent l="0" t="0" r="0" b="0"/>
            <wp:wrapNone/>
            <wp:docPr id="1090920351" name="image1.png" descr="Description: New Picture.png"/>
            <wp:cNvGraphicFramePr/>
            <a:graphic xmlns:a="http://schemas.openxmlformats.org/drawingml/2006/main">
              <a:graphicData uri="http://schemas.openxmlformats.org/drawingml/2006/picture">
                <pic:pic xmlns:pic="http://schemas.openxmlformats.org/drawingml/2006/picture">
                  <pic:nvPicPr>
                    <pic:cNvPr id="0" name="image1.png" descr="Description: New Picture.png"/>
                    <pic:cNvPicPr preferRelativeResize="0"/>
                  </pic:nvPicPr>
                  <pic:blipFill>
                    <a:blip r:embed="rId6"/>
                    <a:srcRect/>
                    <a:stretch>
                      <a:fillRect/>
                    </a:stretch>
                  </pic:blipFill>
                  <pic:spPr>
                    <a:xfrm>
                      <a:off x="0" y="0"/>
                      <a:ext cx="1069521" cy="838200"/>
                    </a:xfrm>
                    <a:prstGeom prst="rect">
                      <a:avLst/>
                    </a:prstGeom>
                    <a:ln/>
                  </pic:spPr>
                </pic:pic>
              </a:graphicData>
            </a:graphic>
          </wp:anchor>
        </w:drawing>
      </w:r>
    </w:p>
    <w:p w:rsidR="00296D7B" w:rsidRPr="007229FF" w:rsidRDefault="00296D7B" w:rsidP="00296D7B">
      <w:pPr>
        <w:jc w:val="center"/>
        <w:rPr>
          <w:rFonts w:asciiTheme="majorHAnsi" w:eastAsia="Times New Roman" w:hAnsiTheme="majorHAnsi" w:cstheme="majorHAnsi"/>
          <w:b/>
          <w:bCs/>
          <w:color w:val="000000"/>
        </w:rPr>
      </w:pPr>
      <w:r w:rsidRPr="007229FF">
        <w:rPr>
          <w:rFonts w:asciiTheme="majorHAnsi" w:eastAsia="Times New Roman" w:hAnsiTheme="majorHAnsi" w:cstheme="majorHAnsi"/>
          <w:b/>
          <w:bCs/>
          <w:color w:val="000000"/>
        </w:rPr>
        <w:t>Federal Government of Somalia</w:t>
      </w:r>
    </w:p>
    <w:p w:rsidR="00296D7B" w:rsidRPr="007229FF" w:rsidRDefault="00296D7B" w:rsidP="00296D7B">
      <w:pPr>
        <w:jc w:val="center"/>
        <w:rPr>
          <w:rFonts w:asciiTheme="majorHAnsi" w:eastAsia="Times New Roman" w:hAnsiTheme="majorHAnsi" w:cstheme="majorHAnsi"/>
          <w:b/>
          <w:bCs/>
          <w:color w:val="000000"/>
        </w:rPr>
      </w:pPr>
      <w:r w:rsidRPr="007229FF">
        <w:rPr>
          <w:rFonts w:asciiTheme="majorHAnsi" w:eastAsia="Times New Roman" w:hAnsiTheme="majorHAnsi" w:cstheme="majorHAnsi"/>
          <w:b/>
          <w:bCs/>
          <w:color w:val="000000"/>
        </w:rPr>
        <w:t>Ministry of Fisheries and Blue Economy</w:t>
      </w:r>
    </w:p>
    <w:p w:rsidR="00296D7B" w:rsidRPr="007229FF" w:rsidRDefault="00296D7B" w:rsidP="00296D7B">
      <w:pPr>
        <w:jc w:val="center"/>
        <w:rPr>
          <w:rFonts w:asciiTheme="majorHAnsi" w:eastAsia="Times New Roman" w:hAnsiTheme="majorHAnsi" w:cstheme="majorHAnsi"/>
          <w:b/>
          <w:bCs/>
          <w:color w:val="000000"/>
        </w:rPr>
      </w:pPr>
      <w:r w:rsidRPr="007229FF">
        <w:rPr>
          <w:rFonts w:asciiTheme="majorHAnsi" w:eastAsia="Times New Roman" w:hAnsiTheme="majorHAnsi" w:cstheme="majorHAnsi"/>
          <w:b/>
          <w:bCs/>
          <w:color w:val="000000"/>
        </w:rPr>
        <w:t>Somali Sustainable Fishers Development Project - Badmaal SSFDP (P178032)</w:t>
      </w:r>
    </w:p>
    <w:p w:rsidR="00296D7B" w:rsidRPr="007229FF" w:rsidRDefault="00296D7B" w:rsidP="00296D7B">
      <w:pPr>
        <w:pBdr>
          <w:bottom w:val="single" w:sz="4" w:space="1" w:color="000000"/>
        </w:pBdr>
        <w:rPr>
          <w:rFonts w:asciiTheme="majorHAnsi" w:eastAsia="Times New Roman" w:hAnsiTheme="majorHAnsi" w:cstheme="majorHAnsi"/>
          <w:b/>
          <w:bCs/>
          <w:color w:val="000000"/>
        </w:rPr>
      </w:pPr>
    </w:p>
    <w:p w:rsidR="00296D7B" w:rsidRPr="007229FF" w:rsidRDefault="00296D7B" w:rsidP="00296D7B">
      <w:pPr>
        <w:rPr>
          <w:rFonts w:asciiTheme="majorHAnsi" w:eastAsia="Georgia" w:hAnsiTheme="majorHAnsi" w:cstheme="majorHAnsi"/>
          <w:b/>
          <w:bCs/>
        </w:rPr>
      </w:pPr>
    </w:p>
    <w:p w:rsidR="00296D7B" w:rsidRPr="007229FF" w:rsidRDefault="00296D7B" w:rsidP="00296D7B">
      <w:pPr>
        <w:jc w:val="center"/>
        <w:rPr>
          <w:rFonts w:asciiTheme="majorHAnsi" w:hAnsiTheme="majorHAnsi" w:cstheme="majorHAnsi"/>
          <w:b/>
          <w:bCs/>
        </w:rPr>
      </w:pPr>
      <w:r w:rsidRPr="007229FF">
        <w:rPr>
          <w:rFonts w:asciiTheme="majorHAnsi" w:hAnsiTheme="majorHAnsi" w:cstheme="majorHAnsi"/>
          <w:b/>
          <w:bCs/>
        </w:rPr>
        <w:t>TERMS OF REFERENCE (ToR).</w:t>
      </w:r>
    </w:p>
    <w:p w:rsidR="00A17835" w:rsidRPr="007229FF" w:rsidRDefault="00296D7B" w:rsidP="00296D7B">
      <w:pPr>
        <w:jc w:val="center"/>
        <w:rPr>
          <w:rFonts w:asciiTheme="majorHAnsi" w:hAnsiTheme="majorHAnsi" w:cstheme="majorHAnsi"/>
          <w:b/>
          <w:bCs/>
          <w:i/>
          <w:iCs/>
          <w:color w:val="000000"/>
        </w:rPr>
      </w:pPr>
      <w:r w:rsidRPr="007229FF">
        <w:rPr>
          <w:rFonts w:asciiTheme="majorHAnsi" w:hAnsiTheme="majorHAnsi" w:cstheme="majorHAnsi"/>
          <w:b/>
          <w:bCs/>
          <w:i/>
          <w:iCs/>
          <w:color w:val="000000"/>
        </w:rPr>
        <w:t>Terms of Reference – Third-Party Monitoring for Somali Sustainable Fisheries Development Project (Badmaal)</w:t>
      </w:r>
    </w:p>
    <w:p w:rsidR="00296D7B" w:rsidRPr="007229FF" w:rsidRDefault="00296D7B" w:rsidP="00296D7B">
      <w:pPr>
        <w:rPr>
          <w:rFonts w:asciiTheme="majorHAnsi" w:hAnsiTheme="majorHAnsi" w:cstheme="majorHAnsi"/>
          <w:b/>
          <w:bCs/>
          <w:color w:val="000000"/>
        </w:rPr>
      </w:pPr>
    </w:p>
    <w:p w:rsidR="00296D7B" w:rsidRPr="007229FF" w:rsidRDefault="007229FF" w:rsidP="00296D7B">
      <w:pPr>
        <w:pStyle w:val="Heading2"/>
        <w:rPr>
          <w:rFonts w:asciiTheme="majorHAnsi" w:eastAsia="Calibri" w:hAnsiTheme="majorHAnsi" w:cstheme="majorHAnsi"/>
          <w:color w:val="0070C0"/>
        </w:rPr>
      </w:pPr>
      <w:r w:rsidRPr="007229FF">
        <w:rPr>
          <w:rFonts w:asciiTheme="majorHAnsi" w:eastAsia="Calibri" w:hAnsiTheme="majorHAnsi" w:cstheme="majorHAnsi"/>
          <w:color w:val="0070C0"/>
        </w:rPr>
        <w:t>BACKGROUND</w:t>
      </w:r>
    </w:p>
    <w:p w:rsidR="00296D7B" w:rsidRPr="007229FF" w:rsidRDefault="00296D7B" w:rsidP="00A17835">
      <w:pPr>
        <w:jc w:val="both"/>
        <w:rPr>
          <w:rFonts w:asciiTheme="majorHAnsi" w:eastAsia="Calibri" w:hAnsiTheme="majorHAnsi" w:cstheme="majorHAnsi"/>
          <w:color w:val="000000"/>
        </w:rPr>
      </w:pPr>
      <w:r w:rsidRPr="007229FF">
        <w:rPr>
          <w:rFonts w:asciiTheme="majorHAnsi" w:eastAsia="Calibri" w:hAnsiTheme="majorHAnsi" w:cstheme="majorHAnsi"/>
          <w:color w:val="000000"/>
        </w:rPr>
        <w:t xml:space="preserve">The Federal Government of Somalia, through the Ministry of Fisheries and Blue Economy (MFBE), is implementing the Somali Sustainable Fisheries Development Project (SSFDP) - Badmaal (P178032). This is a six-year (2024–2030) project aimed at improving the capacity of communities and authorities to benefit from and manage Somalia’s marine fisheries sustainably. The project has </w:t>
      </w:r>
      <w:proofErr w:type="gramStart"/>
      <w:r w:rsidRPr="007229FF">
        <w:rPr>
          <w:rFonts w:asciiTheme="majorHAnsi" w:eastAsia="Calibri" w:hAnsiTheme="majorHAnsi" w:cstheme="majorHAnsi"/>
          <w:color w:val="000000"/>
        </w:rPr>
        <w:t>a</w:t>
      </w:r>
      <w:proofErr w:type="gramEnd"/>
      <w:r w:rsidRPr="007229FF">
        <w:rPr>
          <w:rFonts w:asciiTheme="majorHAnsi" w:eastAsia="Calibri" w:hAnsiTheme="majorHAnsi" w:cstheme="majorHAnsi"/>
          <w:color w:val="000000"/>
        </w:rPr>
        <w:t xml:space="preserve"> </w:t>
      </w:r>
      <w:proofErr w:type="spellStart"/>
      <w:r w:rsidRPr="007229FF">
        <w:rPr>
          <w:rFonts w:asciiTheme="majorHAnsi" w:eastAsia="Calibri" w:hAnsiTheme="majorHAnsi" w:cstheme="majorHAnsi"/>
          <w:color w:val="000000"/>
        </w:rPr>
        <w:t>a</w:t>
      </w:r>
      <w:proofErr w:type="spellEnd"/>
      <w:r w:rsidRPr="007229FF">
        <w:rPr>
          <w:rFonts w:asciiTheme="majorHAnsi" w:eastAsia="Calibri" w:hAnsiTheme="majorHAnsi" w:cstheme="majorHAnsi"/>
          <w:color w:val="000000"/>
        </w:rPr>
        <w:t xml:space="preserve"> total budget of $55 million, financed by IDA grant $50 million and $5 million PROBLUE Trust Fund. The project consists of 3 components:</w:t>
      </w:r>
    </w:p>
    <w:p w:rsidR="00296D7B" w:rsidRPr="007229FF" w:rsidRDefault="00296D7B" w:rsidP="00A17835">
      <w:pPr>
        <w:pStyle w:val="ListParagraph"/>
        <w:numPr>
          <w:ilvl w:val="0"/>
          <w:numId w:val="1"/>
        </w:numPr>
        <w:jc w:val="both"/>
        <w:rPr>
          <w:rFonts w:asciiTheme="majorHAnsi" w:hAnsiTheme="majorHAnsi" w:cstheme="majorHAnsi"/>
        </w:rPr>
      </w:pPr>
      <w:r w:rsidRPr="007229FF">
        <w:rPr>
          <w:rFonts w:asciiTheme="majorHAnsi" w:eastAsia="Calibri" w:hAnsiTheme="majorHAnsi" w:cstheme="majorHAnsi"/>
          <w:b/>
          <w:bCs/>
        </w:rPr>
        <w:t xml:space="preserve">Component 1: Increasing the capacity of dependent communities to benefit from sustainable marine fisheries: </w:t>
      </w:r>
      <w:r w:rsidRPr="007229FF">
        <w:rPr>
          <w:rFonts w:asciiTheme="majorHAnsi" w:eastAsia="Calibri" w:hAnsiTheme="majorHAnsi" w:cstheme="majorHAnsi"/>
        </w:rPr>
        <w:t>which aims to establish or improve small-scale fisheries sustainable infrastructure that is climate resilient, financially viable and value chains with primary beneficiaries being fishers, fish workers and their communities including cooperatives and MSMEs</w:t>
      </w:r>
    </w:p>
    <w:p w:rsidR="00296D7B" w:rsidRPr="007229FF" w:rsidRDefault="00296D7B" w:rsidP="00A17835">
      <w:pPr>
        <w:pStyle w:val="ListParagraph"/>
        <w:numPr>
          <w:ilvl w:val="0"/>
          <w:numId w:val="2"/>
        </w:numPr>
        <w:jc w:val="both"/>
        <w:rPr>
          <w:rFonts w:asciiTheme="majorHAnsi" w:eastAsia="Calibri" w:hAnsiTheme="majorHAnsi" w:cstheme="majorHAnsi"/>
        </w:rPr>
      </w:pPr>
      <w:r w:rsidRPr="007229FF">
        <w:rPr>
          <w:rFonts w:asciiTheme="majorHAnsi" w:eastAsia="Calibri" w:hAnsiTheme="majorHAnsi" w:cstheme="majorHAnsi"/>
          <w:b/>
          <w:bCs/>
          <w:i/>
          <w:iCs/>
        </w:rPr>
        <w:t xml:space="preserve">Sub-component 1.1: Climate-resilient fisheries infrastructure: </w:t>
      </w:r>
      <w:r w:rsidRPr="007229FF">
        <w:rPr>
          <w:rFonts w:asciiTheme="majorHAnsi" w:eastAsia="Calibri" w:hAnsiTheme="majorHAnsi" w:cstheme="majorHAnsi"/>
        </w:rPr>
        <w:t>this will support identification, planning and construction of climate-resilient and gender-responsive small-scale fishing infrastructure at a minimum of 12 project targeted sites in consultation with selected communities and stakeholders. These infrastructures are designed to enable private sector investments in catching, processing and transporting seafood as well as associated activities, e.g. boat building, repair, and equipment maintenance (engines, fishing gear, cold-chain equipment, etc.).</w:t>
      </w:r>
    </w:p>
    <w:p w:rsidR="00296D7B" w:rsidRPr="007229FF" w:rsidRDefault="00296D7B" w:rsidP="00A17835">
      <w:pPr>
        <w:pStyle w:val="ListParagraph"/>
        <w:numPr>
          <w:ilvl w:val="0"/>
          <w:numId w:val="2"/>
        </w:numPr>
        <w:jc w:val="both"/>
        <w:rPr>
          <w:rFonts w:asciiTheme="majorHAnsi" w:eastAsia="Calibri" w:hAnsiTheme="majorHAnsi" w:cstheme="majorHAnsi"/>
        </w:rPr>
      </w:pPr>
      <w:r w:rsidRPr="007229FF">
        <w:rPr>
          <w:rFonts w:asciiTheme="majorHAnsi" w:eastAsia="Calibri" w:hAnsiTheme="majorHAnsi" w:cstheme="majorHAnsi"/>
          <w:b/>
          <w:bCs/>
          <w:i/>
          <w:iCs/>
        </w:rPr>
        <w:t xml:space="preserve">Sub-component 1.2. Improving fishing, handling, processing, and marketing techniques to enhance quality and value-addition: </w:t>
      </w:r>
      <w:r w:rsidRPr="007229FF">
        <w:rPr>
          <w:rFonts w:asciiTheme="majorHAnsi" w:eastAsia="Calibri" w:hAnsiTheme="majorHAnsi" w:cstheme="majorHAnsi"/>
        </w:rPr>
        <w:t>This will support screening and assessment of various value chain associated with targeted communities and the formulation of climate-resilient improvement plans for up to six fish value chains that support fisheries at each selected infrastructure sites. Value chain improvement plans take climate change considerations to improve and diversify fish supply, species, and products to adapt to changing fisheries due to climate change; financial management in preparation for disruptions caused by climate impact; and investment plans for climate-smart equipment and infrastructure.</w:t>
      </w:r>
    </w:p>
    <w:p w:rsidR="00296D7B" w:rsidRPr="007229FF" w:rsidRDefault="00296D7B" w:rsidP="00A17835">
      <w:pPr>
        <w:pStyle w:val="ListParagraph"/>
        <w:numPr>
          <w:ilvl w:val="0"/>
          <w:numId w:val="1"/>
        </w:numPr>
        <w:jc w:val="both"/>
        <w:rPr>
          <w:rFonts w:asciiTheme="majorHAnsi" w:eastAsia="Calibri" w:hAnsiTheme="majorHAnsi" w:cstheme="majorHAnsi"/>
        </w:rPr>
      </w:pPr>
      <w:r w:rsidRPr="007229FF">
        <w:rPr>
          <w:rFonts w:asciiTheme="majorHAnsi" w:eastAsia="Calibri" w:hAnsiTheme="majorHAnsi" w:cstheme="majorHAnsi"/>
          <w:b/>
          <w:bCs/>
        </w:rPr>
        <w:lastRenderedPageBreak/>
        <w:t xml:space="preserve">Component 2: Strengthening Marine Fisheries Governance and Management: </w:t>
      </w:r>
      <w:r w:rsidRPr="007229FF">
        <w:rPr>
          <w:rFonts w:asciiTheme="majorHAnsi" w:eastAsia="Calibri" w:hAnsiTheme="majorHAnsi" w:cstheme="majorHAnsi"/>
        </w:rPr>
        <w:t>set the foundation for long-term climate resilient Somali fisheries that are managed for Sustainability by investing in fisheries governance as laid out in the new national Fisheries Law. The main beneficiaries will be FGS and FMSs fisheries ministries, fishers, fish workers and their communities, as well as investors</w:t>
      </w:r>
      <w:r w:rsidR="00750FBA" w:rsidRPr="007229FF">
        <w:rPr>
          <w:rFonts w:asciiTheme="majorHAnsi" w:eastAsia="Calibri" w:hAnsiTheme="majorHAnsi" w:cstheme="majorHAnsi"/>
        </w:rPr>
        <w:t>.</w:t>
      </w:r>
    </w:p>
    <w:p w:rsidR="00750FBA" w:rsidRPr="007229FF" w:rsidRDefault="00750FBA" w:rsidP="00A17835">
      <w:pPr>
        <w:pStyle w:val="ListParagraph"/>
        <w:numPr>
          <w:ilvl w:val="0"/>
          <w:numId w:val="5"/>
        </w:numPr>
        <w:jc w:val="both"/>
        <w:rPr>
          <w:rFonts w:asciiTheme="majorHAnsi" w:eastAsia="Calibri" w:hAnsiTheme="majorHAnsi" w:cstheme="majorHAnsi"/>
        </w:rPr>
      </w:pPr>
      <w:r w:rsidRPr="007229FF">
        <w:rPr>
          <w:rFonts w:asciiTheme="majorHAnsi" w:eastAsia="Calibri" w:hAnsiTheme="majorHAnsi" w:cstheme="majorHAnsi"/>
          <w:b/>
          <w:bCs/>
          <w:i/>
          <w:iCs/>
        </w:rPr>
        <w:t>Sub-component 2.1: Laying a foundation for effective, transparent, and equitable fisheries resource governance and management.</w:t>
      </w:r>
      <w:r w:rsidRPr="007229FF">
        <w:rPr>
          <w:rFonts w:asciiTheme="majorHAnsi" w:hAnsiTheme="majorHAnsi" w:cstheme="majorHAnsi"/>
        </w:rPr>
        <w:t xml:space="preserve"> </w:t>
      </w:r>
      <w:r w:rsidRPr="007229FF">
        <w:rPr>
          <w:rFonts w:asciiTheme="majorHAnsi" w:eastAsia="Calibri" w:hAnsiTheme="majorHAnsi" w:cstheme="majorHAnsi"/>
        </w:rPr>
        <w:t>Supporting marine fisheries governance and management by providing technical assistance and operational support to the FMDC and its meetings, as well as legal and technical support to FGS and FMSs fisheries ministries to develop harmonized legal and regulatory frameworks to implement the 2023 Federal Fisheries law and support sustainable development of the sector, including through private sector investment</w:t>
      </w:r>
    </w:p>
    <w:p w:rsidR="00750FBA" w:rsidRPr="007229FF" w:rsidRDefault="00750FBA" w:rsidP="00A17835">
      <w:pPr>
        <w:pStyle w:val="ListParagraph"/>
        <w:numPr>
          <w:ilvl w:val="0"/>
          <w:numId w:val="5"/>
        </w:numPr>
        <w:jc w:val="both"/>
        <w:rPr>
          <w:rFonts w:asciiTheme="majorHAnsi" w:eastAsia="Calibri" w:hAnsiTheme="majorHAnsi" w:cstheme="majorHAnsi"/>
        </w:rPr>
      </w:pPr>
      <w:r w:rsidRPr="007229FF">
        <w:rPr>
          <w:rFonts w:asciiTheme="majorHAnsi" w:eastAsia="Calibri" w:hAnsiTheme="majorHAnsi" w:cstheme="majorHAnsi"/>
          <w:b/>
          <w:bCs/>
          <w:i/>
          <w:iCs/>
        </w:rPr>
        <w:t>Sub-component 2.2: Developing a comprehensive Monitoring Control and Surveillance (MCS) system to fight IUU fishing in Somali waters.</w:t>
      </w:r>
      <w:r w:rsidRPr="007229FF">
        <w:rPr>
          <w:rFonts w:asciiTheme="majorHAnsi" w:hAnsiTheme="majorHAnsi" w:cstheme="majorHAnsi"/>
        </w:rPr>
        <w:t xml:space="preserve"> </w:t>
      </w:r>
      <w:r w:rsidRPr="007229FF">
        <w:rPr>
          <w:rFonts w:asciiTheme="majorHAnsi" w:eastAsia="Calibri" w:hAnsiTheme="majorHAnsi" w:cstheme="majorHAnsi"/>
        </w:rPr>
        <w:t xml:space="preserve">The challenges posed by climate change to Somali fisheries require urgent reduction in overfishing and excess capacity to maintain robust fish stock and build long-term resilience of marine ecosystems. This sub-component will support the implementation of the MCS strategy recently developed with assistance from the WBG to promote sustainable fisheries management. </w:t>
      </w:r>
    </w:p>
    <w:p w:rsidR="00750FBA" w:rsidRPr="007229FF" w:rsidRDefault="00750FBA" w:rsidP="00A17835">
      <w:pPr>
        <w:pStyle w:val="ListParagraph"/>
        <w:numPr>
          <w:ilvl w:val="0"/>
          <w:numId w:val="5"/>
        </w:numPr>
        <w:jc w:val="both"/>
        <w:rPr>
          <w:rFonts w:asciiTheme="majorHAnsi" w:eastAsia="Calibri" w:hAnsiTheme="majorHAnsi" w:cstheme="majorHAnsi"/>
        </w:rPr>
      </w:pPr>
      <w:r w:rsidRPr="007229FF">
        <w:rPr>
          <w:rFonts w:asciiTheme="majorHAnsi" w:eastAsia="Calibri" w:hAnsiTheme="majorHAnsi" w:cstheme="majorHAnsi"/>
          <w:b/>
          <w:bCs/>
          <w:i/>
          <w:iCs/>
        </w:rPr>
        <w:t>Sub-component 2.3: Fisheries Statistics and Stock Assessments</w:t>
      </w:r>
      <w:r w:rsidRPr="007229FF">
        <w:rPr>
          <w:rFonts w:asciiTheme="majorHAnsi" w:eastAsia="Calibri" w:hAnsiTheme="majorHAnsi" w:cstheme="majorHAnsi"/>
        </w:rPr>
        <w:t xml:space="preserve">; the project supports research on the likely impacts that climate change on fish populations and marine ecosystems and provide technical assistance to enable adaptive management of fishery resources over the next five to twenty years. This sub-component is focused in supporting the development and deployment of, and begin to institutionalize, tools and systems to generate, analyze and disseminate information essential for effective fisheries management. </w:t>
      </w:r>
    </w:p>
    <w:p w:rsidR="00750FBA" w:rsidRPr="007229FF" w:rsidRDefault="00750FBA" w:rsidP="00A17835">
      <w:pPr>
        <w:pStyle w:val="ListParagraph"/>
        <w:numPr>
          <w:ilvl w:val="0"/>
          <w:numId w:val="5"/>
        </w:numPr>
        <w:jc w:val="both"/>
        <w:rPr>
          <w:rFonts w:asciiTheme="majorHAnsi" w:eastAsia="Calibri" w:hAnsiTheme="majorHAnsi" w:cstheme="majorHAnsi"/>
        </w:rPr>
      </w:pPr>
      <w:r w:rsidRPr="007229FF">
        <w:rPr>
          <w:rFonts w:asciiTheme="majorHAnsi" w:eastAsia="Calibri" w:hAnsiTheme="majorHAnsi" w:cstheme="majorHAnsi"/>
          <w:b/>
          <w:bCs/>
          <w:i/>
          <w:iCs/>
        </w:rPr>
        <w:t>Sub-component 2.4: Strategic studies on fisheries development and blue economy.</w:t>
      </w:r>
      <w:r w:rsidRPr="007229FF">
        <w:rPr>
          <w:rFonts w:asciiTheme="majorHAnsi" w:hAnsiTheme="majorHAnsi" w:cstheme="majorHAnsi"/>
        </w:rPr>
        <w:t xml:space="preserve"> </w:t>
      </w:r>
      <w:r w:rsidRPr="007229FF">
        <w:rPr>
          <w:rFonts w:asciiTheme="majorHAnsi" w:eastAsia="Calibri" w:hAnsiTheme="majorHAnsi" w:cstheme="majorHAnsi"/>
        </w:rPr>
        <w:t>This sub-component will support a set of analytical and strategic studies for long-term development of the fisheries sector in the changing fisheries environment and the broader blue economy in Somalia.</w:t>
      </w:r>
    </w:p>
    <w:p w:rsidR="00750FBA" w:rsidRPr="007229FF" w:rsidRDefault="00750FBA" w:rsidP="00A17835">
      <w:pPr>
        <w:pStyle w:val="NormalWeb"/>
        <w:numPr>
          <w:ilvl w:val="0"/>
          <w:numId w:val="1"/>
        </w:numPr>
        <w:jc w:val="both"/>
        <w:rPr>
          <w:rFonts w:asciiTheme="majorHAnsi" w:hAnsiTheme="majorHAnsi" w:cstheme="majorHAnsi"/>
        </w:rPr>
      </w:pPr>
      <w:r w:rsidRPr="007229FF">
        <w:rPr>
          <w:rFonts w:asciiTheme="majorHAnsi" w:eastAsia="Calibri" w:hAnsiTheme="majorHAnsi" w:cstheme="majorHAnsi"/>
          <w:b/>
          <w:bCs/>
          <w:lang w:val="en"/>
        </w:rPr>
        <w:t>Component 3: Project Management Monitoring and Evaluation;</w:t>
      </w:r>
      <w:r w:rsidRPr="007229FF">
        <w:rPr>
          <w:rFonts w:asciiTheme="majorHAnsi" w:hAnsiTheme="majorHAnsi" w:cstheme="majorHAnsi"/>
        </w:rPr>
        <w:t xml:space="preserve"> This component ensures effective implementation of project activities and fiduciary management and effective monitoring and evaluation, and in conformity with the Bank’s Environmental and Social Framework. </w:t>
      </w:r>
    </w:p>
    <w:p w:rsidR="005853CC" w:rsidRPr="007229FF" w:rsidRDefault="005853CC" w:rsidP="00A17835">
      <w:pPr>
        <w:keepNext/>
        <w:contextualSpacing/>
        <w:jc w:val="both"/>
        <w:rPr>
          <w:rFonts w:asciiTheme="majorHAnsi" w:hAnsiTheme="majorHAnsi" w:cstheme="majorHAnsi"/>
          <w:bCs/>
          <w:color w:val="000000"/>
        </w:rPr>
      </w:pPr>
      <w:r w:rsidRPr="007229FF">
        <w:rPr>
          <w:rFonts w:asciiTheme="majorHAnsi" w:eastAsia="Calibri" w:hAnsiTheme="majorHAnsi" w:cstheme="majorHAnsi"/>
          <w:b/>
          <w:bCs/>
          <w:color w:val="000000"/>
        </w:rPr>
        <w:t>PDO Level Indicators</w:t>
      </w:r>
      <w:r w:rsidRPr="007229FF">
        <w:rPr>
          <w:rFonts w:asciiTheme="majorHAnsi" w:hAnsiTheme="majorHAnsi" w:cstheme="majorHAnsi"/>
          <w:bCs/>
          <w:color w:val="000000"/>
        </w:rPr>
        <w:t xml:space="preserve">: </w:t>
      </w:r>
      <w:r w:rsidRPr="007229FF">
        <w:rPr>
          <w:rFonts w:asciiTheme="majorHAnsi" w:hAnsiTheme="majorHAnsi" w:cstheme="majorHAnsi"/>
          <w:color w:val="000000"/>
        </w:rPr>
        <w:t>The key PDO level indicators for the project are the following:</w:t>
      </w:r>
    </w:p>
    <w:p w:rsidR="005853CC" w:rsidRPr="007229FF" w:rsidRDefault="005853CC" w:rsidP="00A17835">
      <w:pPr>
        <w:pStyle w:val="ListParagraph"/>
        <w:numPr>
          <w:ilvl w:val="0"/>
          <w:numId w:val="6"/>
        </w:numPr>
        <w:spacing w:after="0" w:line="276" w:lineRule="auto"/>
        <w:jc w:val="both"/>
        <w:rPr>
          <w:rFonts w:asciiTheme="majorHAnsi" w:hAnsiTheme="majorHAnsi" w:cstheme="majorHAnsi"/>
          <w:color w:val="000000"/>
        </w:rPr>
      </w:pPr>
      <w:r w:rsidRPr="007229FF">
        <w:rPr>
          <w:rFonts w:asciiTheme="majorHAnsi" w:hAnsiTheme="majorHAnsi" w:cstheme="majorHAnsi"/>
          <w:bCs/>
          <w:color w:val="000000"/>
        </w:rPr>
        <w:t>Climate informed fisheries management plans formulated, and implemented (20), of which Co-management plans in place and operational (14)</w:t>
      </w:r>
    </w:p>
    <w:p w:rsidR="005853CC" w:rsidRPr="007229FF" w:rsidRDefault="005853CC" w:rsidP="00A17835">
      <w:pPr>
        <w:pStyle w:val="ListParagraph"/>
        <w:numPr>
          <w:ilvl w:val="0"/>
          <w:numId w:val="6"/>
        </w:numPr>
        <w:spacing w:after="0" w:line="276" w:lineRule="auto"/>
        <w:jc w:val="both"/>
        <w:rPr>
          <w:rFonts w:asciiTheme="majorHAnsi" w:hAnsiTheme="majorHAnsi" w:cstheme="majorHAnsi"/>
          <w:bCs/>
          <w:color w:val="000000"/>
        </w:rPr>
      </w:pPr>
      <w:r w:rsidRPr="007229FF">
        <w:rPr>
          <w:rFonts w:asciiTheme="majorHAnsi" w:hAnsiTheme="majorHAnsi" w:cstheme="majorHAnsi"/>
          <w:bCs/>
          <w:color w:val="000000"/>
        </w:rPr>
        <w:t>FMDC meetings (26)</w:t>
      </w:r>
    </w:p>
    <w:p w:rsidR="005853CC" w:rsidRPr="007229FF" w:rsidRDefault="005853CC" w:rsidP="00A17835">
      <w:pPr>
        <w:pStyle w:val="ListParagraph"/>
        <w:numPr>
          <w:ilvl w:val="0"/>
          <w:numId w:val="6"/>
        </w:numPr>
        <w:spacing w:after="0" w:line="276" w:lineRule="auto"/>
        <w:jc w:val="both"/>
        <w:rPr>
          <w:rFonts w:asciiTheme="majorHAnsi" w:hAnsiTheme="majorHAnsi" w:cstheme="majorHAnsi"/>
          <w:bCs/>
          <w:color w:val="000000"/>
        </w:rPr>
      </w:pPr>
      <w:r w:rsidRPr="007229FF">
        <w:rPr>
          <w:rFonts w:asciiTheme="majorHAnsi" w:hAnsiTheme="majorHAnsi" w:cstheme="majorHAnsi"/>
          <w:bCs/>
          <w:color w:val="000000"/>
        </w:rPr>
        <w:t>Fishing communities with improved capacity to benefit (12), of which at least 25% of beneficiaries are women (6)</w:t>
      </w:r>
    </w:p>
    <w:p w:rsidR="00750FBA" w:rsidRPr="007229FF" w:rsidRDefault="005853CC" w:rsidP="00A17835">
      <w:pPr>
        <w:pStyle w:val="ListParagraph"/>
        <w:numPr>
          <w:ilvl w:val="0"/>
          <w:numId w:val="6"/>
        </w:numPr>
        <w:spacing w:after="0" w:line="276" w:lineRule="auto"/>
        <w:jc w:val="both"/>
        <w:rPr>
          <w:rFonts w:asciiTheme="majorHAnsi" w:hAnsiTheme="majorHAnsi" w:cstheme="majorHAnsi"/>
          <w:bCs/>
          <w:color w:val="000000"/>
        </w:rPr>
      </w:pPr>
      <w:r w:rsidRPr="007229FF">
        <w:rPr>
          <w:rFonts w:asciiTheme="majorHAnsi" w:hAnsiTheme="majorHAnsi" w:cstheme="majorHAnsi"/>
          <w:bCs/>
          <w:color w:val="000000"/>
        </w:rPr>
        <w:t xml:space="preserve">Beneficiaries (direct) (165,000), of which are women (30%), of Reduction in food loss and waste in targeted value chains (5%) </w:t>
      </w:r>
    </w:p>
    <w:p w:rsidR="005853CC" w:rsidRPr="007229FF" w:rsidRDefault="005853CC" w:rsidP="005853CC">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color w:val="000000"/>
        </w:rPr>
        <w:lastRenderedPageBreak/>
        <w:t xml:space="preserve">These key aspects of the project will build on institutional capacity (including policies and legal reforms), and </w:t>
      </w:r>
      <w:sdt>
        <w:sdtPr>
          <w:rPr>
            <w:rFonts w:asciiTheme="majorHAnsi" w:hAnsiTheme="majorHAnsi" w:cstheme="majorHAnsi"/>
          </w:rPr>
          <w:tag w:val="goog_rdk_83"/>
          <w:id w:val="-1153292913"/>
        </w:sdtPr>
        <w:sdtContent>
          <w:sdt>
            <w:sdtPr>
              <w:rPr>
                <w:rFonts w:asciiTheme="majorHAnsi" w:hAnsiTheme="majorHAnsi" w:cstheme="majorHAnsi"/>
              </w:rPr>
              <w:tag w:val="goog_rdk_84"/>
              <w:id w:val="2076967274"/>
            </w:sdtPr>
            <w:sdtContent>
              <w:r w:rsidRPr="007229FF">
                <w:rPr>
                  <w:rFonts w:asciiTheme="majorHAnsi" w:eastAsia="Calibri" w:hAnsiTheme="majorHAnsi" w:cstheme="majorHAnsi"/>
                </w:rPr>
                <w:t>enhance</w:t>
              </w:r>
            </w:sdtContent>
          </w:sdt>
        </w:sdtContent>
      </w:sdt>
      <w:sdt>
        <w:sdtPr>
          <w:rPr>
            <w:rFonts w:asciiTheme="majorHAnsi" w:hAnsiTheme="majorHAnsi" w:cstheme="majorHAnsi"/>
          </w:rPr>
          <w:tag w:val="goog_rdk_85"/>
          <w:id w:val="-1610540453"/>
        </w:sdtPr>
        <w:sdtContent>
          <w:sdt>
            <w:sdtPr>
              <w:rPr>
                <w:rFonts w:asciiTheme="majorHAnsi" w:hAnsiTheme="majorHAnsi" w:cstheme="majorHAnsi"/>
              </w:rPr>
              <w:tag w:val="goog_rdk_86"/>
              <w:id w:val="1872512197"/>
              <w:showingPlcHdr/>
            </w:sdtPr>
            <w:sdtContent>
              <w:r w:rsidRPr="007229FF">
                <w:rPr>
                  <w:rFonts w:asciiTheme="majorHAnsi" w:hAnsiTheme="majorHAnsi" w:cstheme="majorHAnsi"/>
                </w:rPr>
                <w:t xml:space="preserve">     </w:t>
              </w:r>
            </w:sdtContent>
          </w:sdt>
        </w:sdtContent>
      </w:sdt>
      <w:r w:rsidRPr="007229FF">
        <w:rPr>
          <w:rFonts w:asciiTheme="majorHAnsi" w:eastAsia="Calibri" w:hAnsiTheme="majorHAnsi" w:cstheme="majorHAnsi"/>
          <w:color w:val="000000"/>
        </w:rPr>
        <w:t xml:space="preserve"> service delivery through infrastructure and systems for fisheries management (e.g. information systems and Monitoring, Control and Surveillance (MCS) tools). Given Somalia’s expansive coastline and challenging operating environment (security, accessibility), robust Monitoring &amp; Evaluation (M&amp;E) arrangements are essential. To ensure independent oversight, the MFBE seeks to engage a competent Third-Party Monitoring (TPM) firm throughout the project implementation. This long-term TPM engagement will extend through the remaining period of the project (2026 - 2030), with the contract structured on annual deliverables, contingent on performance and continued need.</w:t>
      </w:r>
    </w:p>
    <w:p w:rsidR="005853CC" w:rsidRPr="007229FF" w:rsidRDefault="007229FF" w:rsidP="005853CC">
      <w:pPr>
        <w:pStyle w:val="Heading2"/>
        <w:rPr>
          <w:rFonts w:asciiTheme="majorHAnsi" w:eastAsia="Calibri" w:hAnsiTheme="majorHAnsi" w:cstheme="majorHAnsi"/>
          <w:color w:val="0070C0"/>
        </w:rPr>
      </w:pPr>
      <w:r w:rsidRPr="007229FF">
        <w:rPr>
          <w:rFonts w:asciiTheme="majorHAnsi" w:eastAsia="Calibri" w:hAnsiTheme="majorHAnsi" w:cstheme="majorHAnsi"/>
          <w:color w:val="0070C0"/>
        </w:rPr>
        <w:t>OBJECTIVES OF THE ASSIGNMENT</w:t>
      </w:r>
    </w:p>
    <w:p w:rsidR="005853CC" w:rsidRPr="007229FF" w:rsidRDefault="005853CC" w:rsidP="005853CC">
      <w:pPr>
        <w:rPr>
          <w:rFonts w:asciiTheme="majorHAnsi" w:eastAsia="Calibri" w:hAnsiTheme="majorHAnsi" w:cstheme="majorHAnsi"/>
          <w:color w:val="000000"/>
        </w:rPr>
      </w:pPr>
      <w:r w:rsidRPr="007229FF">
        <w:rPr>
          <w:rFonts w:asciiTheme="majorHAnsi" w:eastAsia="Calibri" w:hAnsiTheme="majorHAnsi" w:cstheme="majorHAnsi"/>
          <w:color w:val="000000"/>
        </w:rPr>
        <w:t>The TPM firm will act as an independent monitoring entity, working closely with the SSFDP Project Management Unit (PMU) to track implementation across all components and 12 project sites. The TPM will:</w:t>
      </w:r>
    </w:p>
    <w:p w:rsidR="001946F3" w:rsidRDefault="005853CC" w:rsidP="00A17835">
      <w:pPr>
        <w:pStyle w:val="NormalWeb"/>
        <w:numPr>
          <w:ilvl w:val="0"/>
          <w:numId w:val="7"/>
        </w:numPr>
        <w:jc w:val="both"/>
        <w:rPr>
          <w:rFonts w:asciiTheme="majorHAnsi" w:hAnsiTheme="majorHAnsi" w:cstheme="majorHAnsi"/>
        </w:rPr>
      </w:pPr>
      <w:r w:rsidRPr="007229FF">
        <w:rPr>
          <w:rFonts w:asciiTheme="majorHAnsi" w:hAnsiTheme="majorHAnsi" w:cstheme="majorHAnsi"/>
          <w:b/>
          <w:bCs/>
        </w:rPr>
        <w:t>Verify project outputs, compliance with environmental &amp; social requirements, and results against the Results Framework:</w:t>
      </w:r>
      <w:r w:rsidRPr="007229FF">
        <w:rPr>
          <w:rFonts w:asciiTheme="majorHAnsi" w:hAnsiTheme="majorHAnsi" w:cstheme="majorHAnsi"/>
        </w:rPr>
        <w:t xml:space="preserve"> </w:t>
      </w:r>
    </w:p>
    <w:p w:rsidR="005853CC" w:rsidRPr="001946F3" w:rsidRDefault="005853CC" w:rsidP="00A17835">
      <w:pPr>
        <w:pStyle w:val="NormalWeb"/>
        <w:ind w:left="720"/>
        <w:jc w:val="both"/>
        <w:rPr>
          <w:rFonts w:asciiTheme="majorHAnsi" w:hAnsiTheme="majorHAnsi" w:cstheme="majorHAnsi"/>
        </w:rPr>
      </w:pPr>
      <w:r w:rsidRPr="007229FF">
        <w:rPr>
          <w:rFonts w:asciiTheme="majorHAnsi" w:hAnsiTheme="majorHAnsi" w:cstheme="majorHAnsi"/>
        </w:rPr>
        <w:t>T</w:t>
      </w:r>
      <w:r w:rsidRPr="001946F3">
        <w:rPr>
          <w:rFonts w:asciiTheme="majorHAnsi" w:hAnsiTheme="majorHAnsi" w:cstheme="majorHAnsi"/>
        </w:rPr>
        <w:t xml:space="preserve">his includes verifying that project-funded infrastructure (such as markets, ministry buildings, cold chains, jetties, and processing facilities) is completed to standard and operational. For capacity building and service activities, the TPM will confirm that intended beneficiaries (e.g., fishers, MSMEs, and government staff) received the planned support in the expected quantity and quality. For results, this will mean verifying the results reported by the PMU against the project Results Framework for selected indicators and targets. </w:t>
      </w:r>
    </w:p>
    <w:p w:rsidR="001946F3" w:rsidRPr="001946F3" w:rsidRDefault="005853CC" w:rsidP="00A17835">
      <w:pPr>
        <w:pStyle w:val="NormalWeb"/>
        <w:numPr>
          <w:ilvl w:val="0"/>
          <w:numId w:val="7"/>
        </w:numPr>
        <w:jc w:val="both"/>
        <w:rPr>
          <w:rFonts w:asciiTheme="majorHAnsi" w:hAnsiTheme="majorHAnsi" w:cstheme="majorHAnsi"/>
        </w:rPr>
      </w:pPr>
      <w:r w:rsidRPr="007229FF">
        <w:rPr>
          <w:rFonts w:asciiTheme="majorHAnsi" w:hAnsiTheme="majorHAnsi" w:cstheme="majorHAnsi"/>
          <w:b/>
          <w:bCs/>
        </w:rPr>
        <w:t>Identify Is</w:t>
      </w:r>
      <w:r w:rsidR="001946F3">
        <w:rPr>
          <w:rFonts w:asciiTheme="majorHAnsi" w:hAnsiTheme="majorHAnsi" w:cstheme="majorHAnsi"/>
          <w:b/>
          <w:bCs/>
        </w:rPr>
        <w:t>sues and Recommend Improvements:</w:t>
      </w:r>
    </w:p>
    <w:p w:rsidR="005853CC" w:rsidRPr="007229FF" w:rsidRDefault="001946F3" w:rsidP="00A17835">
      <w:pPr>
        <w:pStyle w:val="NormalWeb"/>
        <w:ind w:left="720"/>
        <w:jc w:val="both"/>
        <w:rPr>
          <w:rFonts w:asciiTheme="majorHAnsi" w:hAnsiTheme="majorHAnsi" w:cstheme="majorHAnsi"/>
        </w:rPr>
      </w:pPr>
      <w:r>
        <w:rPr>
          <w:rFonts w:asciiTheme="majorHAnsi" w:hAnsiTheme="majorHAnsi" w:cstheme="majorHAnsi"/>
        </w:rPr>
        <w:t>I</w:t>
      </w:r>
      <w:r w:rsidR="005853CC" w:rsidRPr="007229FF">
        <w:rPr>
          <w:rFonts w:asciiTheme="majorHAnsi" w:hAnsiTheme="majorHAnsi" w:cstheme="majorHAnsi"/>
        </w:rPr>
        <w:t xml:space="preserve">ndependently identify implementation challenges, delays, or deviations, explain their causes, and provide practical recommendations. The TPM will pay attention to cross-cutting issues such as gender equality, youth inclusion, and disability access by triangulating information from communities, project staff, and contractors to understand bottlenecks and unintended impacts. The findings will support MFBE/PMU and the World Bank in taking corrective actions and improving project delivery </w:t>
      </w:r>
    </w:p>
    <w:p w:rsidR="00055D71" w:rsidRPr="007229FF" w:rsidRDefault="005853CC" w:rsidP="00A17835">
      <w:pPr>
        <w:pStyle w:val="NormalWeb"/>
        <w:ind w:left="360"/>
        <w:jc w:val="both"/>
        <w:rPr>
          <w:rFonts w:asciiTheme="majorHAnsi" w:hAnsiTheme="majorHAnsi" w:cstheme="majorHAnsi"/>
        </w:rPr>
      </w:pPr>
      <w:r w:rsidRPr="007229FF">
        <w:rPr>
          <w:rFonts w:asciiTheme="majorHAnsi" w:hAnsiTheme="majorHAnsi" w:cstheme="majorHAnsi"/>
        </w:rPr>
        <w:t xml:space="preserve">The TPM’s independent reports will enhance transparency and accountability, giving confidence to all project stakeholders that funds are used as intended and beneficiaries are truly receiving the project’s benefits. </w:t>
      </w:r>
    </w:p>
    <w:p w:rsidR="00055D71" w:rsidRPr="007229FF" w:rsidRDefault="007229FF" w:rsidP="00055D71">
      <w:pPr>
        <w:pStyle w:val="Heading2"/>
        <w:jc w:val="both"/>
        <w:rPr>
          <w:rFonts w:asciiTheme="majorHAnsi" w:eastAsia="Calibri" w:hAnsiTheme="majorHAnsi" w:cstheme="majorHAnsi"/>
          <w:b/>
          <w:bCs/>
          <w:color w:val="0070C0"/>
        </w:rPr>
      </w:pPr>
      <w:r w:rsidRPr="007229FF">
        <w:rPr>
          <w:rFonts w:asciiTheme="majorHAnsi" w:eastAsia="Calibri" w:hAnsiTheme="majorHAnsi" w:cstheme="majorHAnsi"/>
          <w:b/>
          <w:bCs/>
          <w:color w:val="0070C0"/>
        </w:rPr>
        <w:t>SCOPE OF WORK</w:t>
      </w:r>
    </w:p>
    <w:p w:rsidR="001946F3" w:rsidRPr="007229FF" w:rsidRDefault="00055D71" w:rsidP="00A17835">
      <w:pPr>
        <w:pStyle w:val="NormalWeb"/>
        <w:jc w:val="both"/>
        <w:rPr>
          <w:rFonts w:asciiTheme="majorHAnsi" w:hAnsiTheme="majorHAnsi" w:cstheme="majorHAnsi"/>
        </w:rPr>
      </w:pPr>
      <w:r w:rsidRPr="007229FF">
        <w:rPr>
          <w:rFonts w:asciiTheme="majorHAnsi" w:hAnsiTheme="majorHAnsi" w:cstheme="majorHAnsi"/>
        </w:rPr>
        <w:t>The TPM firm will develop and implement a detailed monitoring plan covering all the three project components and activities of the Badmaal project. The scope of work includes the following key monitoring areas and tasks:</w:t>
      </w:r>
    </w:p>
    <w:p w:rsidR="00055D71" w:rsidRPr="007229FF" w:rsidRDefault="00055D71" w:rsidP="00A17835">
      <w:pPr>
        <w:pStyle w:val="NormalWeb"/>
        <w:numPr>
          <w:ilvl w:val="0"/>
          <w:numId w:val="8"/>
        </w:numPr>
        <w:jc w:val="both"/>
        <w:rPr>
          <w:rFonts w:asciiTheme="majorHAnsi" w:hAnsiTheme="majorHAnsi" w:cstheme="majorHAnsi"/>
          <w:b/>
          <w:bCs/>
        </w:rPr>
      </w:pPr>
      <w:r w:rsidRPr="007229FF">
        <w:rPr>
          <w:rFonts w:asciiTheme="majorHAnsi" w:hAnsiTheme="majorHAnsi" w:cstheme="majorHAnsi"/>
          <w:b/>
          <w:bCs/>
        </w:rPr>
        <w:t xml:space="preserve">Monitoring and Verification of physical outputs and deliverables: </w:t>
      </w:r>
    </w:p>
    <w:p w:rsidR="00055D71" w:rsidRPr="007229FF" w:rsidRDefault="00055D71" w:rsidP="00A17835">
      <w:pPr>
        <w:pStyle w:val="NormalWeb"/>
        <w:numPr>
          <w:ilvl w:val="0"/>
          <w:numId w:val="9"/>
        </w:numPr>
        <w:jc w:val="both"/>
        <w:rPr>
          <w:rFonts w:asciiTheme="majorHAnsi" w:hAnsiTheme="majorHAnsi" w:cstheme="majorHAnsi"/>
        </w:rPr>
      </w:pPr>
      <w:r w:rsidRPr="007229FF">
        <w:rPr>
          <w:rFonts w:asciiTheme="majorHAnsi" w:hAnsiTheme="majorHAnsi" w:cstheme="majorHAnsi"/>
          <w:b/>
          <w:bCs/>
        </w:rPr>
        <w:lastRenderedPageBreak/>
        <w:t>Infrastructure &amp; physical outputs.</w:t>
      </w:r>
      <w:r w:rsidRPr="007229FF">
        <w:rPr>
          <w:rFonts w:asciiTheme="majorHAnsi" w:hAnsiTheme="majorHAnsi" w:cstheme="majorHAnsi"/>
        </w:rPr>
        <w:t xml:space="preserve"> Conduct site inspections of project-funded infrastructure (such as ministry buildings, jetties, fish markets, cold storage facilities, and processing units) at different stages; during construction, at completion, and during operation. The TPM will monitor and verify that works meet approved technical specifications, climate-resilient design standards, and environmental and Occupational Health and Safety (OHS) requirements. Upon completion, the TPM will confirm that facilities are functional, equipped as planned, and being used by the intended beneficiaries. Geotagged photos will be collected to document progress and completion. Any issues, such as poor quality, delays, or under-utilization, will be reported wi</w:t>
      </w:r>
      <w:r w:rsidR="001946F3">
        <w:rPr>
          <w:rFonts w:asciiTheme="majorHAnsi" w:hAnsiTheme="majorHAnsi" w:cstheme="majorHAnsi"/>
        </w:rPr>
        <w:t>th clear analysis of the causes.</w:t>
      </w:r>
    </w:p>
    <w:p w:rsidR="00055D71" w:rsidRPr="007229FF" w:rsidRDefault="00055D71" w:rsidP="00A17835">
      <w:pPr>
        <w:pStyle w:val="NormalWeb"/>
        <w:numPr>
          <w:ilvl w:val="0"/>
          <w:numId w:val="9"/>
        </w:numPr>
        <w:spacing w:before="240" w:beforeAutospacing="0"/>
        <w:jc w:val="both"/>
        <w:rPr>
          <w:rFonts w:asciiTheme="majorHAnsi" w:hAnsiTheme="majorHAnsi" w:cstheme="majorHAnsi"/>
        </w:rPr>
      </w:pPr>
      <w:r w:rsidRPr="007229FF">
        <w:rPr>
          <w:rFonts w:asciiTheme="majorHAnsi" w:hAnsiTheme="majorHAnsi" w:cstheme="majorHAnsi"/>
          <w:b/>
          <w:bCs/>
        </w:rPr>
        <w:t>Service Delivery and Fisheries Livelihood Support:</w:t>
      </w:r>
      <w:r w:rsidRPr="007229FF">
        <w:rPr>
          <w:rFonts w:asciiTheme="majorHAnsi" w:hAnsiTheme="majorHAnsi" w:cstheme="majorHAnsi"/>
        </w:rPr>
        <w:t xml:space="preserve"> Monitor the implementation of services provided to beneficiaries, including project beneficiaries reached </w:t>
      </w:r>
      <w:proofErr w:type="spellStart"/>
      <w:r w:rsidRPr="007229FF">
        <w:rPr>
          <w:rFonts w:asciiTheme="majorHAnsi" w:hAnsiTheme="majorHAnsi" w:cstheme="majorHAnsi"/>
        </w:rPr>
        <w:t>reached</w:t>
      </w:r>
      <w:proofErr w:type="spellEnd"/>
      <w:r w:rsidRPr="007229FF">
        <w:rPr>
          <w:rFonts w:asciiTheme="majorHAnsi" w:hAnsiTheme="majorHAnsi" w:cstheme="majorHAnsi"/>
        </w:rPr>
        <w:t xml:space="preserve">, training (e.g., improved fishing practices, business skills, and fisheries co-management etc.), extension services, distribution of fishing inputs or equipment, and community or grant-based initiatives. The TPM will monitor selected activities to verify they are delivered as planned in terms of content, participation (including inclusion and gender targets), and quality. The TPM will also confirm that eligibility criteria, grant procedures, and co-management processes are applied transparently and in line with project guidelines. </w:t>
      </w:r>
    </w:p>
    <w:p w:rsidR="00055D71" w:rsidRPr="007229FF" w:rsidRDefault="00055D71" w:rsidP="00A17835">
      <w:pPr>
        <w:pStyle w:val="NormalWeb"/>
        <w:numPr>
          <w:ilvl w:val="0"/>
          <w:numId w:val="9"/>
        </w:numPr>
        <w:spacing w:before="240" w:beforeAutospacing="0"/>
        <w:jc w:val="both"/>
        <w:rPr>
          <w:rFonts w:asciiTheme="majorHAnsi" w:hAnsiTheme="majorHAnsi" w:cstheme="majorHAnsi"/>
        </w:rPr>
      </w:pPr>
      <w:r w:rsidRPr="007229FF">
        <w:rPr>
          <w:rFonts w:asciiTheme="majorHAnsi" w:hAnsiTheme="majorHAnsi" w:cstheme="majorHAnsi"/>
          <w:b/>
          <w:bCs/>
        </w:rPr>
        <w:t>Institutional Capacity-Building &amp; Reforms:</w:t>
      </w:r>
      <w:r w:rsidRPr="007229FF">
        <w:rPr>
          <w:rFonts w:asciiTheme="majorHAnsi" w:hAnsiTheme="majorHAnsi" w:cstheme="majorHAnsi"/>
        </w:rPr>
        <w:t xml:space="preserve"> Monitor activities aimed at strengthening fisheries governance and institutions, including the functioning of co-management committees, the Fisheries Management and Development Council (FMDC), and gender-related initiatives. Review progress on fisheries policy and regulatory reforms at federal and FMS levels, and assess whether consultation processes were inclusive and documented. Monitor and verify delivery of capacity-building activities by reviewing attendance records, materials, and evidence of improved knowledge or practices among participants.</w:t>
      </w:r>
    </w:p>
    <w:p w:rsidR="00055D71" w:rsidRPr="007229FF" w:rsidRDefault="00055D71" w:rsidP="00A17835">
      <w:pPr>
        <w:pStyle w:val="NormalWeb"/>
        <w:numPr>
          <w:ilvl w:val="0"/>
          <w:numId w:val="9"/>
        </w:numPr>
        <w:spacing w:before="240" w:beforeAutospacing="0"/>
        <w:jc w:val="both"/>
        <w:rPr>
          <w:rFonts w:asciiTheme="majorHAnsi" w:hAnsiTheme="majorHAnsi" w:cstheme="majorHAnsi"/>
        </w:rPr>
      </w:pPr>
      <w:r w:rsidRPr="007229FF">
        <w:rPr>
          <w:rFonts w:asciiTheme="majorHAnsi" w:hAnsiTheme="majorHAnsi" w:cstheme="majorHAnsi"/>
          <w:b/>
          <w:bCs/>
        </w:rPr>
        <w:t>Digital Systems and MCS:</w:t>
      </w:r>
      <w:r w:rsidRPr="007229FF">
        <w:rPr>
          <w:rFonts w:asciiTheme="majorHAnsi" w:hAnsiTheme="majorHAnsi" w:cstheme="majorHAnsi"/>
        </w:rPr>
        <w:t xml:space="preserve"> Monitor the development and rollout of digital systems supported by the project, including the Fisheries Information Management System (FIMS), Monitoring, Control and Surveillance (MCS) systems, and other related systems and tools throughout the project implementation period. The TPM will monitor progress in establishing the FIMS, including digital registers for fishers, vessels, and licenses. It will confirm that systems are operational (e.g., infrastructure in place, staff trained, and data entered) and that related outputs such as user manuals and training have been delivered. For MCS, the TPM will monitor and verify the functionality of supported surveillance systems, including monitoring </w:t>
      </w:r>
      <w:proofErr w:type="spellStart"/>
      <w:r w:rsidRPr="007229FF">
        <w:rPr>
          <w:rFonts w:asciiTheme="majorHAnsi" w:hAnsiTheme="majorHAnsi" w:cstheme="majorHAnsi"/>
        </w:rPr>
        <w:t>centers</w:t>
      </w:r>
      <w:proofErr w:type="spellEnd"/>
      <w:r w:rsidRPr="007229FF">
        <w:rPr>
          <w:rFonts w:asciiTheme="majorHAnsi" w:hAnsiTheme="majorHAnsi" w:cstheme="majorHAnsi"/>
        </w:rPr>
        <w:t>, vessel tracking systems (AIS/VMS), and patrol activities. This includes reviewing system logs, patrol records, and spot-checking selected operations.</w:t>
      </w:r>
    </w:p>
    <w:p w:rsidR="00055D71" w:rsidRPr="007229FF" w:rsidRDefault="00055D71" w:rsidP="00A17835">
      <w:pPr>
        <w:pStyle w:val="NormalWeb"/>
        <w:numPr>
          <w:ilvl w:val="0"/>
          <w:numId w:val="8"/>
        </w:numPr>
        <w:spacing w:before="0" w:beforeAutospacing="0" w:after="0" w:afterAutospacing="0"/>
        <w:jc w:val="both"/>
        <w:rPr>
          <w:rFonts w:asciiTheme="majorHAnsi" w:hAnsiTheme="majorHAnsi" w:cstheme="majorHAnsi"/>
          <w:b/>
          <w:bCs/>
        </w:rPr>
      </w:pPr>
      <w:r w:rsidRPr="007229FF">
        <w:rPr>
          <w:rFonts w:asciiTheme="majorHAnsi" w:hAnsiTheme="majorHAnsi" w:cstheme="majorHAnsi"/>
          <w:b/>
          <w:bCs/>
        </w:rPr>
        <w:t xml:space="preserve">Compliance monitoring for Environmental and Social Safeguards, GRM, and Inclusion. </w:t>
      </w:r>
    </w:p>
    <w:p w:rsidR="00055D71" w:rsidRPr="007229FF" w:rsidRDefault="00055D71" w:rsidP="00A17835">
      <w:pPr>
        <w:pStyle w:val="NormalWeb"/>
        <w:spacing w:before="240" w:beforeAutospacing="0"/>
        <w:ind w:left="720"/>
        <w:jc w:val="both"/>
        <w:rPr>
          <w:rFonts w:asciiTheme="majorHAnsi" w:hAnsiTheme="majorHAnsi" w:cstheme="majorHAnsi"/>
        </w:rPr>
      </w:pPr>
      <w:r w:rsidRPr="007229FF">
        <w:rPr>
          <w:rFonts w:asciiTheme="majorHAnsi" w:hAnsiTheme="majorHAnsi" w:cstheme="majorHAnsi"/>
        </w:rPr>
        <w:t>TPM will monitor compliance with the project’s environmental, social, and inclusion frameworks.</w:t>
      </w:r>
    </w:p>
    <w:p w:rsidR="00055D71" w:rsidRPr="007229FF" w:rsidRDefault="00055D71" w:rsidP="00A17835">
      <w:pPr>
        <w:pStyle w:val="NormalWeb"/>
        <w:numPr>
          <w:ilvl w:val="0"/>
          <w:numId w:val="10"/>
        </w:numPr>
        <w:spacing w:after="240" w:afterAutospacing="0"/>
        <w:jc w:val="both"/>
        <w:rPr>
          <w:rFonts w:asciiTheme="majorHAnsi" w:hAnsiTheme="majorHAnsi" w:cstheme="majorHAnsi"/>
        </w:rPr>
      </w:pPr>
      <w:r w:rsidRPr="007229FF">
        <w:rPr>
          <w:rFonts w:asciiTheme="majorHAnsi" w:hAnsiTheme="majorHAnsi" w:cstheme="majorHAnsi"/>
          <w:b/>
          <w:bCs/>
        </w:rPr>
        <w:lastRenderedPageBreak/>
        <w:t>Environmental and OHS Compliance:</w:t>
      </w:r>
      <w:r w:rsidRPr="007229FF">
        <w:rPr>
          <w:rFonts w:asciiTheme="majorHAnsi" w:hAnsiTheme="majorHAnsi" w:cstheme="majorHAnsi"/>
        </w:rPr>
        <w:t xml:space="preserve"> Monitor compliance with the Environment &amp; Social Commitment plans, including overall management of the system by the PMU, and that contractors and partners implement site-specific Environmental and Social Management Plans (ESMPs), including proper waste management, environmental protection, and safe working conditions (protective equipment, training, and respect for </w:t>
      </w:r>
      <w:proofErr w:type="spellStart"/>
      <w:r w:rsidRPr="007229FF">
        <w:rPr>
          <w:rFonts w:asciiTheme="majorHAnsi" w:hAnsiTheme="majorHAnsi" w:cstheme="majorHAnsi"/>
        </w:rPr>
        <w:t>labor</w:t>
      </w:r>
      <w:proofErr w:type="spellEnd"/>
      <w:r w:rsidRPr="007229FF">
        <w:rPr>
          <w:rFonts w:asciiTheme="majorHAnsi" w:hAnsiTheme="majorHAnsi" w:cstheme="majorHAnsi"/>
        </w:rPr>
        <w:t xml:space="preserve"> rights).</w:t>
      </w:r>
    </w:p>
    <w:p w:rsidR="00055D71" w:rsidRPr="007229FF" w:rsidRDefault="00055D71" w:rsidP="00A17835">
      <w:pPr>
        <w:pStyle w:val="NormalWeb"/>
        <w:numPr>
          <w:ilvl w:val="0"/>
          <w:numId w:val="10"/>
        </w:numPr>
        <w:spacing w:after="240" w:afterAutospacing="0"/>
        <w:jc w:val="both"/>
        <w:rPr>
          <w:rFonts w:asciiTheme="majorHAnsi" w:hAnsiTheme="majorHAnsi" w:cstheme="majorHAnsi"/>
        </w:rPr>
      </w:pPr>
      <w:proofErr w:type="spellStart"/>
      <w:r w:rsidRPr="007229FF">
        <w:rPr>
          <w:rFonts w:asciiTheme="majorHAnsi" w:hAnsiTheme="majorHAnsi" w:cstheme="majorHAnsi"/>
          <w:b/>
          <w:bCs/>
        </w:rPr>
        <w:t>Labor</w:t>
      </w:r>
      <w:proofErr w:type="spellEnd"/>
      <w:r w:rsidRPr="007229FF">
        <w:rPr>
          <w:rFonts w:asciiTheme="majorHAnsi" w:hAnsiTheme="majorHAnsi" w:cstheme="majorHAnsi"/>
          <w:b/>
          <w:bCs/>
        </w:rPr>
        <w:t xml:space="preserve"> and Working Conditions:</w:t>
      </w:r>
      <w:r w:rsidRPr="007229FF">
        <w:rPr>
          <w:rFonts w:asciiTheme="majorHAnsi" w:hAnsiTheme="majorHAnsi" w:cstheme="majorHAnsi"/>
        </w:rPr>
        <w:t xml:space="preserve"> Confirm that no child or forced </w:t>
      </w:r>
      <w:proofErr w:type="spellStart"/>
      <w:r w:rsidRPr="007229FF">
        <w:rPr>
          <w:rFonts w:asciiTheme="majorHAnsi" w:hAnsiTheme="majorHAnsi" w:cstheme="majorHAnsi"/>
        </w:rPr>
        <w:t>labor</w:t>
      </w:r>
      <w:proofErr w:type="spellEnd"/>
      <w:r w:rsidRPr="007229FF">
        <w:rPr>
          <w:rFonts w:asciiTheme="majorHAnsi" w:hAnsiTheme="majorHAnsi" w:cstheme="majorHAnsi"/>
        </w:rPr>
        <w:t xml:space="preserve"> is used, workers are paid on time, and </w:t>
      </w:r>
      <w:proofErr w:type="spellStart"/>
      <w:r w:rsidRPr="007229FF">
        <w:rPr>
          <w:rFonts w:asciiTheme="majorHAnsi" w:hAnsiTheme="majorHAnsi" w:cstheme="majorHAnsi"/>
        </w:rPr>
        <w:t>labor</w:t>
      </w:r>
      <w:proofErr w:type="spellEnd"/>
      <w:r w:rsidRPr="007229FF">
        <w:rPr>
          <w:rFonts w:asciiTheme="majorHAnsi" w:hAnsiTheme="majorHAnsi" w:cstheme="majorHAnsi"/>
        </w:rPr>
        <w:t>-related risks are properly managed.</w:t>
      </w:r>
    </w:p>
    <w:p w:rsidR="00055D71" w:rsidRPr="007229FF" w:rsidRDefault="00055D71" w:rsidP="00A17835">
      <w:pPr>
        <w:pStyle w:val="NormalWeb"/>
        <w:numPr>
          <w:ilvl w:val="0"/>
          <w:numId w:val="10"/>
        </w:numPr>
        <w:jc w:val="both"/>
        <w:rPr>
          <w:rFonts w:asciiTheme="majorHAnsi" w:hAnsiTheme="majorHAnsi" w:cstheme="majorHAnsi"/>
        </w:rPr>
      </w:pPr>
      <w:r w:rsidRPr="007229FF">
        <w:rPr>
          <w:rFonts w:asciiTheme="majorHAnsi" w:hAnsiTheme="majorHAnsi" w:cstheme="majorHAnsi"/>
          <w:b/>
          <w:bCs/>
        </w:rPr>
        <w:t>GBV/SEAH Mitigation:</w:t>
      </w:r>
      <w:r w:rsidRPr="007229FF">
        <w:rPr>
          <w:rFonts w:asciiTheme="majorHAnsi" w:hAnsiTheme="majorHAnsi" w:cstheme="majorHAnsi"/>
        </w:rPr>
        <w:t xml:space="preserve"> Monitor that Codes of Conduct are signed, GBV prevention training is conducted, safe reporting channels are available, and incidents are handled confidentially in line with the GBV Action Plan. The TPM should include qualified social expertise to assess SEAH risks and mitigation measures.</w:t>
      </w:r>
    </w:p>
    <w:p w:rsidR="00055D71" w:rsidRPr="007229FF" w:rsidRDefault="00055D71" w:rsidP="00A17835">
      <w:pPr>
        <w:pStyle w:val="NormalWeb"/>
        <w:numPr>
          <w:ilvl w:val="0"/>
          <w:numId w:val="10"/>
        </w:numPr>
        <w:spacing w:before="240" w:beforeAutospacing="0"/>
        <w:jc w:val="both"/>
        <w:rPr>
          <w:rFonts w:asciiTheme="majorHAnsi" w:hAnsiTheme="majorHAnsi" w:cstheme="majorHAnsi"/>
        </w:rPr>
      </w:pPr>
      <w:r w:rsidRPr="007229FF">
        <w:rPr>
          <w:rFonts w:asciiTheme="majorHAnsi" w:hAnsiTheme="majorHAnsi" w:cstheme="majorHAnsi"/>
          <w:b/>
          <w:bCs/>
        </w:rPr>
        <w:t>Stakeholder Engagement and Grievance Redress (GRM):</w:t>
      </w:r>
      <w:r w:rsidRPr="007229FF">
        <w:rPr>
          <w:rFonts w:asciiTheme="majorHAnsi" w:hAnsiTheme="majorHAnsi" w:cstheme="majorHAnsi"/>
        </w:rPr>
        <w:t xml:space="preserve"> Assess whether grievance redress mechanisms are functioning effectively and that complaints (including GBV/SEAH, </w:t>
      </w:r>
      <w:proofErr w:type="spellStart"/>
      <w:r w:rsidRPr="007229FF">
        <w:rPr>
          <w:rFonts w:asciiTheme="majorHAnsi" w:hAnsiTheme="majorHAnsi" w:cstheme="majorHAnsi"/>
        </w:rPr>
        <w:t>labor</w:t>
      </w:r>
      <w:proofErr w:type="spellEnd"/>
      <w:r w:rsidRPr="007229FF">
        <w:rPr>
          <w:rFonts w:asciiTheme="majorHAnsi" w:hAnsiTheme="majorHAnsi" w:cstheme="majorHAnsi"/>
        </w:rPr>
        <w:t xml:space="preserve"> violations, or safety issues) are properly reported and addressed, including whether consultations are conducted, community representatives are involved, and the GRM is accessible and functioning. Review grievance records and confirm timely resolution of complaints.</w:t>
      </w:r>
    </w:p>
    <w:p w:rsidR="00055D71" w:rsidRPr="007229FF" w:rsidRDefault="00055D71" w:rsidP="00A17835">
      <w:pPr>
        <w:pStyle w:val="NormalWeb"/>
        <w:numPr>
          <w:ilvl w:val="0"/>
          <w:numId w:val="10"/>
        </w:numPr>
        <w:spacing w:before="240" w:beforeAutospacing="0"/>
        <w:jc w:val="both"/>
        <w:rPr>
          <w:rFonts w:asciiTheme="majorHAnsi" w:hAnsiTheme="majorHAnsi" w:cstheme="majorHAnsi"/>
        </w:rPr>
      </w:pPr>
      <w:r w:rsidRPr="007229FF">
        <w:rPr>
          <w:rFonts w:asciiTheme="majorHAnsi" w:hAnsiTheme="majorHAnsi" w:cstheme="majorHAnsi"/>
          <w:b/>
          <w:bCs/>
        </w:rPr>
        <w:t>Inclusion of Vulnerable Groups:</w:t>
      </w:r>
      <w:r w:rsidRPr="007229FF">
        <w:rPr>
          <w:rFonts w:asciiTheme="majorHAnsi" w:hAnsiTheme="majorHAnsi" w:cstheme="majorHAnsi"/>
        </w:rPr>
        <w:t xml:space="preserve"> Monitor and verify that project benefits reach women, youth, IDPs, marginalized groups, and persons with disabilities. Project </w:t>
      </w:r>
      <w:proofErr w:type="gramStart"/>
      <w:r w:rsidRPr="007229FF">
        <w:rPr>
          <w:rFonts w:asciiTheme="majorHAnsi" w:hAnsiTheme="majorHAnsi" w:cstheme="majorHAnsi"/>
        </w:rPr>
        <w:t>beneficiaries</w:t>
      </w:r>
      <w:proofErr w:type="gramEnd"/>
      <w:r w:rsidRPr="007229FF">
        <w:rPr>
          <w:rFonts w:asciiTheme="majorHAnsi" w:hAnsiTheme="majorHAnsi" w:cstheme="majorHAnsi"/>
        </w:rPr>
        <w:t xml:space="preserve"> data should be disaggregated to identify any exclusion or elite capture. The TPM will monitor that activities follow the project’s inclusion and gender action plans, including accessibility, fairness, and prevention of harassment.</w:t>
      </w:r>
    </w:p>
    <w:p w:rsidR="001946F3" w:rsidRPr="001946F3" w:rsidRDefault="00055D71" w:rsidP="00A17835">
      <w:pPr>
        <w:pStyle w:val="NormalWeb"/>
        <w:numPr>
          <w:ilvl w:val="0"/>
          <w:numId w:val="10"/>
        </w:numPr>
        <w:spacing w:before="240" w:beforeAutospacing="0"/>
        <w:jc w:val="both"/>
        <w:rPr>
          <w:rFonts w:asciiTheme="majorHAnsi" w:hAnsiTheme="majorHAnsi" w:cstheme="majorHAnsi"/>
        </w:rPr>
      </w:pPr>
      <w:r w:rsidRPr="007229FF">
        <w:rPr>
          <w:rFonts w:asciiTheme="majorHAnsi" w:hAnsiTheme="majorHAnsi" w:cstheme="majorHAnsi"/>
          <w:b/>
          <w:bCs/>
        </w:rPr>
        <w:t>Verification of project results:</w:t>
      </w:r>
      <w:r w:rsidRPr="007229FF">
        <w:rPr>
          <w:rFonts w:asciiTheme="majorHAnsi" w:hAnsiTheme="majorHAnsi" w:cstheme="majorHAnsi"/>
        </w:rPr>
        <w:t xml:space="preserve"> The TPM shall monitor and verify reporting by the PMU on results achieved under the Project Results Framework , specifically in relation to both PDO and IR level s indicators:</w:t>
      </w:r>
    </w:p>
    <w:p w:rsidR="00055D71" w:rsidRPr="007229FF" w:rsidRDefault="00055D71" w:rsidP="00055D71">
      <w:pPr>
        <w:pStyle w:val="NormalWeb"/>
        <w:rPr>
          <w:rFonts w:asciiTheme="majorHAnsi" w:hAnsiTheme="majorHAnsi" w:cstheme="majorHAnsi"/>
          <w:u w:val="single"/>
        </w:rPr>
      </w:pPr>
      <w:r w:rsidRPr="007229FF">
        <w:rPr>
          <w:rFonts w:asciiTheme="majorHAnsi" w:hAnsiTheme="majorHAnsi" w:cstheme="majorHAnsi"/>
          <w:u w:val="single"/>
        </w:rPr>
        <w:t>Project logic &amp; Indicators.</w:t>
      </w:r>
    </w:p>
    <w:tbl>
      <w:tblPr>
        <w:tblpPr w:leftFromText="180" w:rightFromText="180" w:vertAnchor="text" w:tblpX="131"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2471"/>
        <w:gridCol w:w="3118"/>
        <w:gridCol w:w="2268"/>
      </w:tblGrid>
      <w:tr w:rsidR="00055D71" w:rsidRPr="007229FF" w:rsidTr="001946F3">
        <w:trPr>
          <w:trHeight w:hRule="exact" w:val="752"/>
        </w:trPr>
        <w:tc>
          <w:tcPr>
            <w:tcW w:w="1777" w:type="dxa"/>
            <w:vMerge w:val="restart"/>
            <w:tcBorders>
              <w:top w:val="single" w:sz="4" w:space="0" w:color="auto"/>
              <w:left w:val="single" w:sz="4" w:space="0" w:color="auto"/>
              <w:right w:val="single" w:sz="4" w:space="0" w:color="auto"/>
            </w:tcBorders>
            <w:shd w:val="clear" w:color="auto" w:fill="BDD6EE"/>
            <w:vAlign w:val="center"/>
          </w:tcPr>
          <w:p w:rsidR="00055D71" w:rsidRPr="001946F3" w:rsidRDefault="00055D71" w:rsidP="001946F3">
            <w:pPr>
              <w:spacing w:after="0"/>
              <w:rPr>
                <w:rFonts w:asciiTheme="majorHAnsi" w:hAnsiTheme="majorHAnsi" w:cstheme="majorHAnsi"/>
                <w:b/>
              </w:rPr>
            </w:pPr>
            <w:r w:rsidRPr="007229FF">
              <w:rPr>
                <w:rFonts w:asciiTheme="majorHAnsi" w:hAnsiTheme="majorHAnsi" w:cstheme="majorHAnsi"/>
                <w:b/>
              </w:rPr>
              <w:t xml:space="preserve">Component 1 </w:t>
            </w:r>
          </w:p>
        </w:tc>
        <w:tc>
          <w:tcPr>
            <w:tcW w:w="247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055D71" w:rsidRPr="007229FF" w:rsidRDefault="00055D71" w:rsidP="001946F3">
            <w:pPr>
              <w:widowControl w:val="0"/>
              <w:spacing w:after="0"/>
              <w:ind w:left="57" w:right="57"/>
              <w:rPr>
                <w:rFonts w:asciiTheme="majorHAnsi" w:hAnsiTheme="majorHAnsi" w:cstheme="majorHAnsi"/>
                <w:b/>
              </w:rPr>
            </w:pPr>
            <w:r w:rsidRPr="007229FF">
              <w:rPr>
                <w:rFonts w:asciiTheme="majorHAnsi" w:hAnsiTheme="majorHAnsi" w:cstheme="majorHAnsi"/>
                <w:b/>
              </w:rPr>
              <w:t>Intervention logic</w:t>
            </w:r>
          </w:p>
        </w:tc>
        <w:tc>
          <w:tcPr>
            <w:tcW w:w="311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055D71" w:rsidRPr="007229FF" w:rsidRDefault="00055D71" w:rsidP="001946F3">
            <w:pPr>
              <w:widowControl w:val="0"/>
              <w:spacing w:after="0"/>
              <w:ind w:left="57" w:right="57"/>
              <w:rPr>
                <w:rFonts w:asciiTheme="majorHAnsi" w:hAnsiTheme="majorHAnsi" w:cstheme="majorHAnsi"/>
                <w:b/>
              </w:rPr>
            </w:pPr>
            <w:r w:rsidRPr="007229FF">
              <w:rPr>
                <w:rFonts w:asciiTheme="majorHAnsi" w:hAnsiTheme="majorHAnsi" w:cstheme="majorHAnsi"/>
                <w:b/>
              </w:rPr>
              <w:t>Indicators</w:t>
            </w:r>
          </w:p>
        </w:tc>
        <w:tc>
          <w:tcPr>
            <w:tcW w:w="2268" w:type="dxa"/>
            <w:tcBorders>
              <w:top w:val="single" w:sz="4" w:space="0" w:color="auto"/>
              <w:left w:val="single" w:sz="4" w:space="0" w:color="auto"/>
              <w:bottom w:val="single" w:sz="4" w:space="0" w:color="auto"/>
              <w:right w:val="single" w:sz="4" w:space="0" w:color="auto"/>
            </w:tcBorders>
            <w:shd w:val="clear" w:color="auto" w:fill="BDD6EE"/>
            <w:vAlign w:val="center"/>
          </w:tcPr>
          <w:p w:rsidR="00055D71" w:rsidRPr="007229FF" w:rsidRDefault="00055D71" w:rsidP="001946F3">
            <w:pPr>
              <w:widowControl w:val="0"/>
              <w:spacing w:after="0"/>
              <w:ind w:left="57" w:right="57"/>
              <w:rPr>
                <w:rFonts w:asciiTheme="majorHAnsi" w:hAnsiTheme="majorHAnsi" w:cstheme="majorHAnsi"/>
                <w:b/>
              </w:rPr>
            </w:pPr>
            <w:r w:rsidRPr="007229FF">
              <w:rPr>
                <w:rFonts w:asciiTheme="majorHAnsi" w:hAnsiTheme="majorHAnsi" w:cstheme="majorHAnsi"/>
                <w:b/>
              </w:rPr>
              <w:t>Frequency</w:t>
            </w:r>
          </w:p>
        </w:tc>
      </w:tr>
      <w:tr w:rsidR="00055D71" w:rsidRPr="007229FF" w:rsidTr="001946F3">
        <w:trPr>
          <w:trHeight w:val="1735"/>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rPr>
            </w:pPr>
          </w:p>
        </w:tc>
        <w:tc>
          <w:tcPr>
            <w:tcW w:w="2471" w:type="dxa"/>
            <w:vMerge w:val="restart"/>
            <w:tcBorders>
              <w:top w:val="single" w:sz="4" w:space="0" w:color="auto"/>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color w:val="C00000"/>
              </w:rPr>
            </w:pPr>
            <w:r w:rsidRPr="007229FF">
              <w:rPr>
                <w:rFonts w:asciiTheme="majorHAnsi" w:hAnsiTheme="majorHAnsi" w:cstheme="majorHAnsi"/>
              </w:rPr>
              <w:t>Increasing the Capacity of Dependent Communities to Benefit from Sustainable Marine Fisheries.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rPr>
                <w:rFonts w:asciiTheme="majorHAnsi" w:eastAsia="Calibri" w:hAnsiTheme="majorHAnsi" w:cstheme="majorHAnsi"/>
                <w:noProof/>
              </w:rPr>
            </w:pPr>
            <w:r w:rsidRPr="007229FF">
              <w:rPr>
                <w:rFonts w:asciiTheme="majorHAnsi" w:eastAsia="Calibri" w:hAnsiTheme="majorHAnsi" w:cstheme="majorHAnsi"/>
                <w:noProof/>
              </w:rPr>
              <w:t>Climate informed infrastructure built or rehabilitated and operational (Number)</w:t>
            </w:r>
          </w:p>
          <w:p w:rsidR="00055D71" w:rsidRPr="007229FF" w:rsidRDefault="00055D71" w:rsidP="001946F3">
            <w:pPr>
              <w:spacing w:after="0"/>
              <w:rPr>
                <w:rFonts w:asciiTheme="majorHAnsi" w:hAnsiTheme="majorHAnsi" w:cstheme="majorHAnsi"/>
              </w:rPr>
            </w:pPr>
          </w:p>
        </w:tc>
        <w:tc>
          <w:tcPr>
            <w:tcW w:w="2268" w:type="dxa"/>
            <w:tcBorders>
              <w:top w:val="single" w:sz="4" w:space="0" w:color="auto"/>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rPr>
            </w:pPr>
            <w:r w:rsidRPr="007229FF">
              <w:rPr>
                <w:rFonts w:asciiTheme="majorHAnsi" w:eastAsia="Calibri" w:hAnsiTheme="majorHAnsi" w:cstheme="majorHAnsi"/>
                <w:noProof/>
              </w:rPr>
              <w:t xml:space="preserve">Quarterly </w:t>
            </w:r>
          </w:p>
        </w:tc>
      </w:tr>
      <w:tr w:rsidR="00055D71" w:rsidRPr="007229FF" w:rsidTr="001946F3">
        <w:trPr>
          <w:trHeight w:val="1497"/>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color w:val="C00000"/>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rPr>
                <w:rFonts w:asciiTheme="majorHAnsi" w:eastAsia="Calibri" w:hAnsiTheme="majorHAnsi" w:cstheme="majorHAnsi"/>
                <w:noProof/>
              </w:rPr>
            </w:pPr>
            <w:r w:rsidRPr="007229FF">
              <w:rPr>
                <w:rFonts w:asciiTheme="majorHAnsi" w:eastAsia="Calibri" w:hAnsiTheme="majorHAnsi" w:cstheme="majorHAnsi"/>
                <w:noProof/>
              </w:rPr>
              <w:t>Targeted MSMEs benefitting from implemention of value chain improvement plans (Number).</w:t>
            </w:r>
          </w:p>
          <w:p w:rsidR="00055D71" w:rsidRPr="007229FF" w:rsidRDefault="00055D71" w:rsidP="001946F3">
            <w:pPr>
              <w:rPr>
                <w:rFonts w:asciiTheme="majorHAnsi" w:hAnsiTheme="majorHAnsi" w:cstheme="majorHAnsi"/>
                <w:color w:val="C00000"/>
              </w:rPr>
            </w:pPr>
            <w:r w:rsidRPr="007229FF">
              <w:rPr>
                <w:rFonts w:asciiTheme="majorHAnsi" w:hAnsiTheme="majorHAnsi" w:cstheme="majorHAnsi"/>
              </w:rPr>
              <w:lastRenderedPageBreak/>
              <w:t>of which owned/led, by women people (%)</w:t>
            </w:r>
          </w:p>
        </w:tc>
        <w:tc>
          <w:tcPr>
            <w:tcW w:w="2268" w:type="dxa"/>
            <w:tcBorders>
              <w:top w:val="single" w:sz="4" w:space="0" w:color="auto"/>
              <w:left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rPr>
            </w:pPr>
            <w:r w:rsidRPr="007229FF">
              <w:rPr>
                <w:rFonts w:asciiTheme="majorHAnsi" w:eastAsia="Calibri" w:hAnsiTheme="majorHAnsi" w:cstheme="majorHAnsi"/>
                <w:noProof/>
              </w:rPr>
              <w:lastRenderedPageBreak/>
              <w:t>Quarterly</w:t>
            </w:r>
          </w:p>
        </w:tc>
      </w:tr>
      <w:tr w:rsidR="00055D71" w:rsidRPr="007229FF" w:rsidTr="001946F3">
        <w:trPr>
          <w:trHeight w:val="800"/>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rPr>
            </w:pPr>
          </w:p>
        </w:tc>
        <w:tc>
          <w:tcPr>
            <w:tcW w:w="2471" w:type="dxa"/>
            <w:vMerge/>
            <w:tcBorders>
              <w:left w:val="single" w:sz="4" w:space="0" w:color="auto"/>
              <w:bottom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color w:val="C00000"/>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rPr>
                <w:rFonts w:asciiTheme="majorHAnsi" w:eastAsia="Calibri" w:hAnsiTheme="majorHAnsi" w:cstheme="majorHAnsi"/>
                <w:noProof/>
              </w:rPr>
            </w:pPr>
            <w:r w:rsidRPr="007229FF">
              <w:rPr>
                <w:rFonts w:asciiTheme="majorHAnsi" w:eastAsia="Calibri" w:hAnsiTheme="majorHAnsi" w:cstheme="majorHAnsi"/>
                <w:noProof/>
              </w:rPr>
              <w:t>Value (USD/Kg) increases from improved handling from fisheries under improved management (Percentage)</w:t>
            </w:r>
          </w:p>
        </w:tc>
        <w:tc>
          <w:tcPr>
            <w:tcW w:w="2268" w:type="dxa"/>
            <w:tcBorders>
              <w:top w:val="single" w:sz="4" w:space="0" w:color="auto"/>
              <w:left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rPr>
            </w:pPr>
            <w:r w:rsidRPr="007229FF">
              <w:rPr>
                <w:rFonts w:asciiTheme="majorHAnsi" w:eastAsia="Calibri" w:hAnsiTheme="majorHAnsi" w:cstheme="majorHAnsi"/>
                <w:noProof/>
              </w:rPr>
              <w:t xml:space="preserve">Survey at mid - term </w:t>
            </w:r>
          </w:p>
          <w:p w:rsidR="00055D71" w:rsidRPr="007229FF" w:rsidRDefault="00055D71" w:rsidP="001946F3">
            <w:pPr>
              <w:widowControl w:val="0"/>
              <w:tabs>
                <w:tab w:val="left" w:pos="471"/>
              </w:tabs>
              <w:spacing w:after="0"/>
              <w:ind w:right="57"/>
              <w:rPr>
                <w:rFonts w:asciiTheme="majorHAnsi" w:eastAsia="Calibri" w:hAnsiTheme="majorHAnsi" w:cstheme="majorHAnsi"/>
                <w:noProof/>
              </w:rPr>
            </w:pPr>
            <w:r w:rsidRPr="007229FF">
              <w:rPr>
                <w:rFonts w:asciiTheme="majorHAnsi" w:eastAsia="Calibri" w:hAnsiTheme="majorHAnsi" w:cstheme="majorHAnsi"/>
                <w:noProof/>
              </w:rPr>
              <w:t>Endline  survey</w:t>
            </w:r>
          </w:p>
        </w:tc>
      </w:tr>
      <w:tr w:rsidR="00055D71" w:rsidRPr="007229FF" w:rsidTr="001946F3">
        <w:trPr>
          <w:trHeight w:val="174"/>
        </w:trPr>
        <w:tc>
          <w:tcPr>
            <w:tcW w:w="1777" w:type="dxa"/>
            <w:vMerge w:val="restart"/>
            <w:tcBorders>
              <w:left w:val="single" w:sz="4" w:space="0" w:color="auto"/>
              <w:right w:val="single" w:sz="4" w:space="0" w:color="auto"/>
            </w:tcBorders>
            <w:shd w:val="clear" w:color="auto" w:fill="BDD6EE"/>
            <w:vAlign w:val="center"/>
            <w:hideMark/>
          </w:tcPr>
          <w:p w:rsidR="00055D71" w:rsidRPr="007229FF" w:rsidRDefault="00055D71" w:rsidP="001946F3">
            <w:pPr>
              <w:spacing w:after="0"/>
              <w:rPr>
                <w:rFonts w:asciiTheme="majorHAnsi" w:hAnsiTheme="majorHAnsi" w:cstheme="majorHAnsi"/>
                <w:b/>
                <w:bCs/>
              </w:rPr>
            </w:pPr>
            <w:r w:rsidRPr="007229FF">
              <w:rPr>
                <w:rFonts w:asciiTheme="majorHAnsi" w:hAnsiTheme="majorHAnsi" w:cstheme="majorHAnsi"/>
                <w:b/>
                <w:bCs/>
              </w:rPr>
              <w:t>Component 2</w:t>
            </w:r>
          </w:p>
        </w:tc>
        <w:tc>
          <w:tcPr>
            <w:tcW w:w="2471" w:type="dxa"/>
            <w:vMerge w:val="restart"/>
            <w:tcBorders>
              <w:top w:val="single" w:sz="4" w:space="0" w:color="auto"/>
              <w:left w:val="single" w:sz="4" w:space="0" w:color="auto"/>
              <w:right w:val="single" w:sz="4" w:space="0" w:color="auto"/>
            </w:tcBorders>
            <w:shd w:val="clear" w:color="auto" w:fill="auto"/>
            <w:vAlign w:val="center"/>
            <w:hideMark/>
          </w:tcPr>
          <w:p w:rsidR="00055D71" w:rsidRPr="007229FF" w:rsidRDefault="00055D71" w:rsidP="001946F3">
            <w:pPr>
              <w:spacing w:after="0"/>
              <w:rPr>
                <w:rFonts w:asciiTheme="majorHAnsi" w:hAnsiTheme="majorHAnsi" w:cstheme="majorHAnsi"/>
                <w:szCs w:val="22"/>
              </w:rPr>
            </w:pPr>
            <w:r w:rsidRPr="007229FF">
              <w:rPr>
                <w:rFonts w:asciiTheme="majorHAnsi" w:hAnsiTheme="majorHAnsi" w:cstheme="majorHAnsi"/>
                <w:szCs w:val="22"/>
              </w:rPr>
              <w:t>Strengthening climate resilient marine fisheries governance and management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hAnsiTheme="majorHAnsi" w:cstheme="majorHAnsi"/>
                <w:b/>
                <w:bCs/>
                <w:color w:val="C00000"/>
                <w:szCs w:val="22"/>
              </w:rPr>
            </w:pPr>
            <w:r w:rsidRPr="007229FF">
              <w:rPr>
                <w:rFonts w:asciiTheme="majorHAnsi" w:eastAsia="Calibri" w:hAnsiTheme="majorHAnsi" w:cstheme="majorHAnsi"/>
                <w:noProof/>
                <w:szCs w:val="22"/>
              </w:rPr>
              <w:t>Fish stocks with their status determined (Number)</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 xml:space="preserve">Semi - Annually </w:t>
            </w:r>
          </w:p>
        </w:tc>
      </w:tr>
      <w:tr w:rsidR="00055D71" w:rsidRPr="007229FF" w:rsidTr="001946F3">
        <w:trPr>
          <w:trHeight w:val="174"/>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eastAsia="Calibri" w:hAnsiTheme="majorHAnsi" w:cstheme="majorHAnsi"/>
                <w:noProof/>
                <w:szCs w:val="22"/>
              </w:rPr>
            </w:pPr>
            <w:r w:rsidRPr="007229FF">
              <w:rPr>
                <w:rFonts w:asciiTheme="majorHAnsi" w:eastAsia="Calibri" w:hAnsiTheme="majorHAnsi" w:cstheme="majorHAnsi"/>
                <w:noProof/>
                <w:szCs w:val="22"/>
              </w:rPr>
              <w:t>Co-management arrangements with at least 10% women participation , of which at least one woman is in an executive position in its governance body (Number)</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 xml:space="preserve">Annually </w:t>
            </w:r>
          </w:p>
        </w:tc>
      </w:tr>
      <w:tr w:rsidR="00055D71" w:rsidRPr="007229FF" w:rsidTr="001946F3">
        <w:trPr>
          <w:trHeight w:val="174"/>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eastAsia="Calibri" w:hAnsiTheme="majorHAnsi" w:cstheme="majorHAnsi"/>
                <w:noProof/>
                <w:szCs w:val="22"/>
              </w:rPr>
            </w:pPr>
            <w:r w:rsidRPr="007229FF">
              <w:rPr>
                <w:rFonts w:asciiTheme="majorHAnsi" w:hAnsiTheme="majorHAnsi" w:cstheme="majorHAnsi"/>
                <w:szCs w:val="22"/>
                <w:lang w:val="en-IE"/>
              </w:rPr>
              <w:t>Patrol days (Number)</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 xml:space="preserve">Annually </w:t>
            </w:r>
          </w:p>
        </w:tc>
      </w:tr>
      <w:tr w:rsidR="00055D71" w:rsidRPr="007229FF" w:rsidTr="001946F3">
        <w:trPr>
          <w:trHeight w:val="174"/>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eastAsia="Calibri" w:hAnsiTheme="majorHAnsi" w:cstheme="majorHAnsi"/>
                <w:noProof/>
                <w:szCs w:val="22"/>
              </w:rPr>
            </w:pPr>
            <w:r w:rsidRPr="007229FF">
              <w:rPr>
                <w:rFonts w:asciiTheme="majorHAnsi" w:hAnsiTheme="majorHAnsi" w:cstheme="majorHAnsi"/>
                <w:szCs w:val="22"/>
                <w:lang w:val="en-IE"/>
              </w:rPr>
              <w:t>Register of fishers, fishing vessels and licences developed and operational (Number)</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 xml:space="preserve">Semi-annualy </w:t>
            </w:r>
          </w:p>
        </w:tc>
      </w:tr>
      <w:tr w:rsidR="00055D71" w:rsidRPr="007229FF" w:rsidTr="001946F3">
        <w:trPr>
          <w:trHeight w:val="174"/>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hAnsiTheme="majorHAnsi" w:cstheme="majorHAnsi"/>
                <w:szCs w:val="22"/>
                <w:lang w:val="en-IE"/>
              </w:rPr>
            </w:pPr>
            <w:r w:rsidRPr="007229FF">
              <w:rPr>
                <w:rFonts w:asciiTheme="majorHAnsi" w:hAnsiTheme="majorHAnsi" w:cstheme="majorHAnsi"/>
                <w:szCs w:val="22"/>
                <w:lang w:val="en-IE"/>
              </w:rPr>
              <w:t>Fisheries policies, legal and regulatory texts adopted at FGS and/or FMSs levels (Number)</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Annually</w:t>
            </w:r>
          </w:p>
        </w:tc>
      </w:tr>
      <w:tr w:rsidR="00055D71" w:rsidRPr="007229FF" w:rsidTr="001946F3">
        <w:trPr>
          <w:trHeight w:val="174"/>
        </w:trPr>
        <w:tc>
          <w:tcPr>
            <w:tcW w:w="1777" w:type="dxa"/>
            <w:vMerge/>
            <w:tcBorders>
              <w:left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hAnsiTheme="majorHAnsi" w:cstheme="majorHAnsi"/>
                <w:szCs w:val="22"/>
                <w:lang w:val="en-IE"/>
              </w:rPr>
            </w:pPr>
            <w:r w:rsidRPr="007229FF">
              <w:rPr>
                <w:rFonts w:asciiTheme="majorHAnsi" w:hAnsiTheme="majorHAnsi" w:cstheme="majorHAnsi"/>
                <w:szCs w:val="22"/>
                <w:lang w:val="en-IE"/>
              </w:rPr>
              <w:t>Large scale industrial fishing vessels observed conducting serious Illegal activities during patrols (Percentage)</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szCs w:val="22"/>
              </w:rPr>
            </w:pPr>
            <w:r w:rsidRPr="007229FF">
              <w:rPr>
                <w:rFonts w:asciiTheme="majorHAnsi" w:eastAsia="Calibri" w:hAnsiTheme="majorHAnsi" w:cstheme="majorHAnsi"/>
                <w:noProof/>
                <w:szCs w:val="22"/>
              </w:rPr>
              <w:t>Annually</w:t>
            </w:r>
          </w:p>
        </w:tc>
      </w:tr>
      <w:tr w:rsidR="00055D71" w:rsidRPr="007229FF" w:rsidTr="001946F3">
        <w:trPr>
          <w:trHeight w:val="174"/>
        </w:trPr>
        <w:tc>
          <w:tcPr>
            <w:tcW w:w="1777" w:type="dxa"/>
            <w:vMerge/>
            <w:tcBorders>
              <w:left w:val="single" w:sz="4" w:space="0" w:color="auto"/>
              <w:bottom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p>
        </w:tc>
        <w:tc>
          <w:tcPr>
            <w:tcW w:w="2471" w:type="dxa"/>
            <w:vMerge/>
            <w:tcBorders>
              <w:left w:val="single" w:sz="4" w:space="0" w:color="auto"/>
              <w:bottom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hAnsiTheme="majorHAnsi" w:cstheme="majorHAnsi"/>
                <w:lang w:val="en-IE"/>
              </w:rPr>
            </w:pPr>
            <w:r w:rsidRPr="007229FF">
              <w:rPr>
                <w:rFonts w:asciiTheme="majorHAnsi" w:hAnsiTheme="majorHAnsi" w:cstheme="majorHAnsi"/>
                <w:color w:val="000000"/>
              </w:rPr>
              <w:t>Revenue generated from licensing fees annually (USD) (Amount (USD))</w:t>
            </w:r>
          </w:p>
        </w:tc>
        <w:tc>
          <w:tcPr>
            <w:tcW w:w="2268" w:type="dxa"/>
            <w:tcBorders>
              <w:left w:val="single" w:sz="4" w:space="0" w:color="auto"/>
              <w:bottom w:val="single" w:sz="4" w:space="0" w:color="auto"/>
              <w:right w:val="single" w:sz="4" w:space="0" w:color="auto"/>
            </w:tcBorders>
            <w:vAlign w:val="center"/>
          </w:tcPr>
          <w:p w:rsidR="00055D71" w:rsidRPr="007229FF" w:rsidRDefault="00055D71" w:rsidP="001946F3">
            <w:pPr>
              <w:widowControl w:val="0"/>
              <w:tabs>
                <w:tab w:val="left" w:pos="471"/>
              </w:tabs>
              <w:spacing w:after="0"/>
              <w:ind w:right="57"/>
              <w:rPr>
                <w:rFonts w:asciiTheme="majorHAnsi" w:eastAsia="Calibri" w:hAnsiTheme="majorHAnsi" w:cstheme="majorHAnsi"/>
                <w:noProof/>
              </w:rPr>
            </w:pPr>
            <w:r w:rsidRPr="007229FF">
              <w:rPr>
                <w:rFonts w:asciiTheme="majorHAnsi" w:eastAsia="Calibri" w:hAnsiTheme="majorHAnsi" w:cstheme="majorHAnsi"/>
                <w:noProof/>
              </w:rPr>
              <w:t>Annually</w:t>
            </w:r>
          </w:p>
        </w:tc>
      </w:tr>
      <w:tr w:rsidR="00055D71" w:rsidRPr="007229FF" w:rsidTr="001946F3">
        <w:trPr>
          <w:trHeight w:val="1497"/>
        </w:trPr>
        <w:tc>
          <w:tcPr>
            <w:tcW w:w="1777" w:type="dxa"/>
            <w:tcBorders>
              <w:top w:val="single" w:sz="4" w:space="0" w:color="auto"/>
              <w:left w:val="single" w:sz="4" w:space="0" w:color="auto"/>
              <w:bottom w:val="single" w:sz="4" w:space="0" w:color="auto"/>
              <w:right w:val="single" w:sz="4" w:space="0" w:color="auto"/>
            </w:tcBorders>
            <w:shd w:val="clear" w:color="auto" w:fill="BDD6EE"/>
            <w:vAlign w:val="center"/>
          </w:tcPr>
          <w:p w:rsidR="00055D71" w:rsidRPr="007229FF" w:rsidRDefault="00055D71" w:rsidP="001946F3">
            <w:pPr>
              <w:spacing w:after="0"/>
              <w:rPr>
                <w:rFonts w:asciiTheme="majorHAnsi" w:hAnsiTheme="majorHAnsi" w:cstheme="majorHAnsi"/>
                <w:b/>
                <w:bCs/>
              </w:rPr>
            </w:pPr>
            <w:r w:rsidRPr="007229FF">
              <w:rPr>
                <w:rFonts w:asciiTheme="majorHAnsi" w:hAnsiTheme="majorHAnsi" w:cstheme="majorHAnsi"/>
                <w:b/>
                <w:bCs/>
              </w:rPr>
              <w:t>Component 3</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spacing w:after="0"/>
              <w:rPr>
                <w:rFonts w:asciiTheme="majorHAnsi" w:hAnsiTheme="majorHAnsi" w:cstheme="majorHAnsi"/>
                <w:b/>
                <w:bCs/>
                <w:color w:val="C00000"/>
              </w:rPr>
            </w:pPr>
            <w:r w:rsidRPr="007229FF">
              <w:rPr>
                <w:rFonts w:asciiTheme="majorHAnsi" w:hAnsiTheme="majorHAnsi" w:cstheme="majorHAnsi"/>
              </w:rPr>
              <w:t xml:space="preserve">Project management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55D71" w:rsidRPr="007229FF" w:rsidRDefault="00055D71" w:rsidP="001946F3">
            <w:pPr>
              <w:widowControl w:val="0"/>
              <w:spacing w:before="86" w:after="0"/>
              <w:rPr>
                <w:rFonts w:asciiTheme="majorHAnsi" w:hAnsiTheme="majorHAnsi" w:cstheme="majorHAnsi"/>
                <w:b/>
                <w:bCs/>
                <w:color w:val="C00000"/>
              </w:rPr>
            </w:pPr>
            <w:r w:rsidRPr="007229FF">
              <w:rPr>
                <w:rFonts w:asciiTheme="majorHAnsi" w:hAnsiTheme="majorHAnsi" w:cstheme="majorHAnsi"/>
                <w:color w:val="000000"/>
              </w:rPr>
              <w:t>Beneficiaries with rating ‘Satisfied’ or above on project interventions (Percentage)</w:t>
            </w:r>
          </w:p>
        </w:tc>
        <w:tc>
          <w:tcPr>
            <w:tcW w:w="2268" w:type="dxa"/>
            <w:tcBorders>
              <w:top w:val="single" w:sz="4" w:space="0" w:color="auto"/>
              <w:left w:val="single" w:sz="4" w:space="0" w:color="auto"/>
              <w:bottom w:val="single" w:sz="4" w:space="0" w:color="auto"/>
              <w:right w:val="single" w:sz="4" w:space="0" w:color="auto"/>
            </w:tcBorders>
            <w:vAlign w:val="center"/>
          </w:tcPr>
          <w:p w:rsidR="00055D71" w:rsidRPr="007229FF" w:rsidRDefault="00055D71" w:rsidP="001946F3">
            <w:pPr>
              <w:widowControl w:val="0"/>
              <w:spacing w:after="0"/>
              <w:ind w:right="223"/>
              <w:rPr>
                <w:rFonts w:asciiTheme="majorHAnsi" w:eastAsia="Calibri" w:hAnsiTheme="majorHAnsi" w:cstheme="majorHAnsi"/>
                <w:noProof/>
              </w:rPr>
            </w:pPr>
            <w:r w:rsidRPr="007229FF">
              <w:rPr>
                <w:rFonts w:asciiTheme="majorHAnsi" w:eastAsia="Calibri" w:hAnsiTheme="majorHAnsi" w:cstheme="majorHAnsi"/>
                <w:noProof/>
              </w:rPr>
              <w:t>Quarterly asssessments</w:t>
            </w:r>
          </w:p>
          <w:p w:rsidR="00055D71" w:rsidRPr="007229FF" w:rsidRDefault="00055D71" w:rsidP="001946F3">
            <w:pPr>
              <w:widowControl w:val="0"/>
              <w:spacing w:after="0"/>
              <w:ind w:right="223"/>
              <w:rPr>
                <w:rFonts w:asciiTheme="majorHAnsi" w:eastAsia="Calibri" w:hAnsiTheme="majorHAnsi" w:cstheme="majorHAnsi"/>
                <w:noProof/>
              </w:rPr>
            </w:pPr>
            <w:r w:rsidRPr="007229FF">
              <w:rPr>
                <w:rFonts w:asciiTheme="majorHAnsi" w:eastAsia="Calibri" w:hAnsiTheme="majorHAnsi" w:cstheme="majorHAnsi"/>
                <w:noProof/>
              </w:rPr>
              <w:t>Mid-term survey</w:t>
            </w:r>
          </w:p>
          <w:p w:rsidR="00055D71" w:rsidRPr="007229FF" w:rsidRDefault="00055D71" w:rsidP="001946F3">
            <w:pPr>
              <w:widowControl w:val="0"/>
              <w:spacing w:after="0"/>
              <w:ind w:right="223"/>
              <w:rPr>
                <w:rFonts w:asciiTheme="majorHAnsi" w:eastAsia="Calibri" w:hAnsiTheme="majorHAnsi" w:cstheme="majorHAnsi"/>
                <w:noProof/>
              </w:rPr>
            </w:pPr>
            <w:r w:rsidRPr="007229FF">
              <w:rPr>
                <w:rFonts w:asciiTheme="majorHAnsi" w:eastAsia="Calibri" w:hAnsiTheme="majorHAnsi" w:cstheme="majorHAnsi"/>
                <w:noProof/>
              </w:rPr>
              <w:t>Endline survey</w:t>
            </w:r>
          </w:p>
        </w:tc>
      </w:tr>
    </w:tbl>
    <w:p w:rsidR="00055D71" w:rsidRPr="007229FF" w:rsidRDefault="00055D71" w:rsidP="00A17835">
      <w:pPr>
        <w:pStyle w:val="NormalWeb"/>
        <w:spacing w:before="240" w:beforeAutospacing="0"/>
        <w:jc w:val="both"/>
        <w:rPr>
          <w:rFonts w:asciiTheme="majorHAnsi" w:hAnsiTheme="majorHAnsi" w:cstheme="majorHAnsi"/>
        </w:rPr>
      </w:pPr>
      <w:r w:rsidRPr="007229FF">
        <w:rPr>
          <w:rFonts w:asciiTheme="majorHAnsi" w:hAnsiTheme="majorHAnsi" w:cstheme="majorHAnsi"/>
        </w:rPr>
        <w:t>The TPM shall support the Project Mid-Term Review (March 2027) and bi-annual World Bank project review missions by providing consolidated monitoring data, presentations, lessons learned, and selected illustrative examples drawn from quarterly findings. The TPM shall assist the PMU in preparing relevant analysis and evidence to inform discussions and decision-making during these review processes</w:t>
      </w:r>
    </w:p>
    <w:p w:rsidR="000C3DA0" w:rsidRPr="001946F3" w:rsidRDefault="001946F3" w:rsidP="000C3DA0">
      <w:pPr>
        <w:pStyle w:val="Heading2"/>
        <w:jc w:val="both"/>
        <w:rPr>
          <w:rFonts w:asciiTheme="majorHAnsi" w:eastAsia="Calibri" w:hAnsiTheme="majorHAnsi" w:cstheme="majorHAnsi"/>
          <w:b/>
          <w:bCs/>
          <w:color w:val="0070C0"/>
        </w:rPr>
      </w:pPr>
      <w:r w:rsidRPr="001946F3">
        <w:rPr>
          <w:rFonts w:asciiTheme="majorHAnsi" w:eastAsia="Calibri" w:hAnsiTheme="majorHAnsi" w:cstheme="majorHAnsi"/>
          <w:b/>
          <w:bCs/>
          <w:color w:val="0070C0"/>
        </w:rPr>
        <w:lastRenderedPageBreak/>
        <w:t xml:space="preserve">APPROACH AND METHODOLOGY </w:t>
      </w:r>
    </w:p>
    <w:p w:rsidR="000C3DA0" w:rsidRPr="007229FF" w:rsidRDefault="000C3DA0" w:rsidP="00A17835">
      <w:pPr>
        <w:pStyle w:val="NormalWeb"/>
        <w:jc w:val="both"/>
        <w:rPr>
          <w:rFonts w:asciiTheme="majorHAnsi" w:hAnsiTheme="majorHAnsi" w:cstheme="majorHAnsi"/>
        </w:rPr>
      </w:pPr>
      <w:r w:rsidRPr="007229FF">
        <w:rPr>
          <w:rFonts w:asciiTheme="majorHAnsi" w:hAnsiTheme="majorHAnsi" w:cstheme="majorHAnsi"/>
        </w:rPr>
        <w:t xml:space="preserve">The TPM firm </w:t>
      </w:r>
      <w:proofErr w:type="gramStart"/>
      <w:r w:rsidRPr="007229FF">
        <w:rPr>
          <w:rFonts w:asciiTheme="majorHAnsi" w:hAnsiTheme="majorHAnsi" w:cstheme="majorHAnsi"/>
        </w:rPr>
        <w:t>is expected</w:t>
      </w:r>
      <w:proofErr w:type="gramEnd"/>
      <w:r w:rsidRPr="007229FF">
        <w:rPr>
          <w:rFonts w:asciiTheme="majorHAnsi" w:hAnsiTheme="majorHAnsi" w:cstheme="majorHAnsi"/>
        </w:rPr>
        <w:t xml:space="preserve"> to develop and use a mixed-methods approach to </w:t>
      </w:r>
      <w:r w:rsidR="00A17835" w:rsidRPr="007229FF">
        <w:rPr>
          <w:rFonts w:asciiTheme="majorHAnsi" w:hAnsiTheme="majorHAnsi" w:cstheme="majorHAnsi"/>
        </w:rPr>
        <w:t>fulfil</w:t>
      </w:r>
      <w:r w:rsidRPr="007229FF">
        <w:rPr>
          <w:rFonts w:asciiTheme="majorHAnsi" w:hAnsiTheme="majorHAnsi" w:cstheme="majorHAnsi"/>
        </w:rPr>
        <w:t xml:space="preserve"> the above scope, generating both quantitative and qualitative evidence on project performance. The methodology should be rigorous yet adaptive, incorporating the following elements: </w:t>
      </w:r>
    </w:p>
    <w:p w:rsidR="000C3DA0" w:rsidRPr="007229FF" w:rsidRDefault="000C3DA0" w:rsidP="00A17835">
      <w:pPr>
        <w:pStyle w:val="NormalWeb"/>
        <w:numPr>
          <w:ilvl w:val="0"/>
          <w:numId w:val="13"/>
        </w:numPr>
        <w:jc w:val="both"/>
        <w:rPr>
          <w:rFonts w:asciiTheme="majorHAnsi" w:hAnsiTheme="majorHAnsi" w:cstheme="majorHAnsi"/>
        </w:rPr>
      </w:pPr>
      <w:r w:rsidRPr="007229FF">
        <w:rPr>
          <w:rFonts w:asciiTheme="majorHAnsi" w:hAnsiTheme="majorHAnsi" w:cstheme="majorHAnsi"/>
          <w:b/>
          <w:bCs/>
        </w:rPr>
        <w:t>Monitoring/verification of infrastructure and physical outputs:</w:t>
      </w:r>
      <w:r w:rsidRPr="007229FF">
        <w:rPr>
          <w:rFonts w:asciiTheme="majorHAnsi" w:hAnsiTheme="majorHAnsi" w:cstheme="majorHAnsi"/>
        </w:rPr>
        <w:t xml:space="preserve"> should include physical field inspection of the standard of construction and materials in relation to plans and supervision reports. </w:t>
      </w:r>
    </w:p>
    <w:p w:rsidR="000C3DA0" w:rsidRPr="007229FF" w:rsidRDefault="000C3DA0" w:rsidP="00A17835">
      <w:pPr>
        <w:pStyle w:val="NormalWeb"/>
        <w:numPr>
          <w:ilvl w:val="0"/>
          <w:numId w:val="13"/>
        </w:numPr>
        <w:spacing w:before="240" w:beforeAutospacing="0"/>
        <w:jc w:val="both"/>
        <w:rPr>
          <w:rFonts w:asciiTheme="majorHAnsi" w:hAnsiTheme="majorHAnsi" w:cstheme="majorHAnsi"/>
        </w:rPr>
      </w:pPr>
      <w:r w:rsidRPr="007229FF">
        <w:rPr>
          <w:rFonts w:asciiTheme="majorHAnsi" w:hAnsiTheme="majorHAnsi" w:cstheme="majorHAnsi"/>
          <w:b/>
          <w:bCs/>
        </w:rPr>
        <w:t>Monitoring/ verification of processes and compliance with E&amp;S measures</w:t>
      </w:r>
      <w:r w:rsidRPr="007229FF">
        <w:rPr>
          <w:rFonts w:asciiTheme="majorHAnsi" w:hAnsiTheme="majorHAnsi" w:cstheme="majorHAnsi"/>
        </w:rPr>
        <w:t xml:space="preserve"> should include review of documents and reports, as well as field interviews / small group discussions with a representative number of implementers and beneficiaries to confirm the timing, application of appropriate standards / guidelines, quality and impacts of activities. This would include discussion of outcomes, such as whether beneficiaries are using new skills or tools and whether infrastructure investments are improving services (e.g., safer landings, better fish handling process, and improved market access). </w:t>
      </w:r>
    </w:p>
    <w:p w:rsidR="000C3DA0" w:rsidRPr="007229FF" w:rsidRDefault="000C3DA0" w:rsidP="00A17835">
      <w:pPr>
        <w:pStyle w:val="NormalWeb"/>
        <w:numPr>
          <w:ilvl w:val="0"/>
          <w:numId w:val="13"/>
        </w:numPr>
        <w:spacing w:before="240" w:beforeAutospacing="0"/>
        <w:jc w:val="both"/>
        <w:rPr>
          <w:rFonts w:asciiTheme="majorHAnsi" w:hAnsiTheme="majorHAnsi" w:cstheme="majorHAnsi"/>
        </w:rPr>
      </w:pPr>
      <w:r w:rsidRPr="007229FF">
        <w:rPr>
          <w:rFonts w:asciiTheme="majorHAnsi" w:hAnsiTheme="majorHAnsi" w:cstheme="majorHAnsi"/>
          <w:b/>
          <w:bCs/>
        </w:rPr>
        <w:t>Monitoring/ verification of quantitative project results</w:t>
      </w:r>
      <w:r w:rsidRPr="007229FF">
        <w:rPr>
          <w:rFonts w:asciiTheme="majorHAnsi" w:hAnsiTheme="majorHAnsi" w:cstheme="majorHAnsi"/>
        </w:rPr>
        <w:t xml:space="preserve">, such as number of beneficiaries, post-harvest losses or value addition, should be conducted by representative re-sampling either of the general target population, or (where feasible) of individual respondents to surveys conducted by the Project. Where possible, the statistical reliability of results should be reported. </w:t>
      </w:r>
    </w:p>
    <w:p w:rsidR="000C3DA0" w:rsidRPr="001946F3" w:rsidRDefault="000C3DA0" w:rsidP="00A17835">
      <w:pPr>
        <w:pStyle w:val="NormalWeb"/>
        <w:ind w:left="720"/>
        <w:jc w:val="both"/>
        <w:rPr>
          <w:rFonts w:asciiTheme="majorHAnsi" w:hAnsiTheme="majorHAnsi" w:cstheme="majorHAnsi"/>
          <w:u w:val="single"/>
        </w:rPr>
      </w:pPr>
      <w:r w:rsidRPr="001946F3">
        <w:rPr>
          <w:rFonts w:asciiTheme="majorHAnsi" w:hAnsiTheme="majorHAnsi" w:cstheme="majorHAnsi"/>
          <w:u w:val="single"/>
        </w:rPr>
        <w:t xml:space="preserve">The TPM is expected to visit project sites periodically (at the start, during and completion of activity for the infrastructure), continuously quarterly monitoring/verification visits and before the mid-term review and spot check visits. </w:t>
      </w:r>
    </w:p>
    <w:p w:rsidR="000C3DA0" w:rsidRPr="007229FF" w:rsidRDefault="000C3DA0" w:rsidP="00A17835">
      <w:pPr>
        <w:pStyle w:val="NormalWeb"/>
        <w:numPr>
          <w:ilvl w:val="0"/>
          <w:numId w:val="14"/>
        </w:numPr>
        <w:jc w:val="both"/>
        <w:rPr>
          <w:rFonts w:asciiTheme="majorHAnsi" w:hAnsiTheme="majorHAnsi" w:cstheme="majorHAnsi"/>
        </w:rPr>
      </w:pPr>
      <w:r w:rsidRPr="007229FF">
        <w:rPr>
          <w:rFonts w:asciiTheme="majorHAnsi" w:hAnsiTheme="majorHAnsi" w:cstheme="majorHAnsi"/>
          <w:b/>
          <w:bCs/>
        </w:rPr>
        <w:t>Sampling Strategy:</w:t>
      </w:r>
      <w:r w:rsidRPr="007229FF">
        <w:rPr>
          <w:rFonts w:asciiTheme="majorHAnsi" w:hAnsiTheme="majorHAnsi" w:cstheme="majorHAnsi"/>
        </w:rPr>
        <w:t xml:space="preserve"> The TPM firm shall develop a robust sampling framework for site visits and surveys that combines random selection with risk-based targeting. Given the project’s geographic coverage, sampling shall ensure balanced representation across Federal Member States and </w:t>
      </w:r>
      <w:proofErr w:type="spellStart"/>
      <w:r w:rsidRPr="007229FF">
        <w:rPr>
          <w:rFonts w:asciiTheme="majorHAnsi" w:hAnsiTheme="majorHAnsi" w:cstheme="majorHAnsi"/>
        </w:rPr>
        <w:t>Banadir</w:t>
      </w:r>
      <w:proofErr w:type="spellEnd"/>
      <w:r w:rsidRPr="007229FF">
        <w:rPr>
          <w:rFonts w:asciiTheme="majorHAnsi" w:hAnsiTheme="majorHAnsi" w:cstheme="majorHAnsi"/>
        </w:rPr>
        <w:t xml:space="preserve">, while allowing targeted monitoring of high-risk or high-value activities. The sampling shall ensure coverage of all project components over time and allow flexibility for rolling site visits and unannounced spot checks where necessary. </w:t>
      </w:r>
    </w:p>
    <w:p w:rsidR="000C3DA0" w:rsidRPr="007229FF" w:rsidRDefault="000C3DA0" w:rsidP="00A17835">
      <w:pPr>
        <w:pStyle w:val="NormalWeb"/>
        <w:numPr>
          <w:ilvl w:val="0"/>
          <w:numId w:val="14"/>
        </w:numPr>
        <w:spacing w:before="240" w:beforeAutospacing="0"/>
        <w:jc w:val="both"/>
        <w:rPr>
          <w:rFonts w:asciiTheme="majorHAnsi" w:hAnsiTheme="majorHAnsi" w:cstheme="majorHAnsi"/>
        </w:rPr>
      </w:pPr>
      <w:r w:rsidRPr="007229FF">
        <w:rPr>
          <w:rFonts w:asciiTheme="majorHAnsi" w:hAnsiTheme="majorHAnsi" w:cstheme="majorHAnsi"/>
          <w:b/>
          <w:bCs/>
        </w:rPr>
        <w:t>Data Collection Methods:</w:t>
      </w:r>
      <w:r w:rsidRPr="007229FF">
        <w:rPr>
          <w:rFonts w:asciiTheme="majorHAnsi" w:hAnsiTheme="majorHAnsi" w:cstheme="majorHAnsi"/>
        </w:rPr>
        <w:t xml:space="preserve"> The TPM should apply both qualitative and quantitative methods. FGDs and KIIs will capture stakeholder experiences and perceptions, while structured surveys and checklists will collect measurable indicators. This combined approach allows qualitative insights to explain quantitative findings and ensures robust, cross-validated monitoring of project activities. </w:t>
      </w:r>
    </w:p>
    <w:p w:rsidR="000C3DA0" w:rsidRPr="007229FF" w:rsidRDefault="000C3DA0" w:rsidP="00A17835">
      <w:pPr>
        <w:pStyle w:val="NormalWeb"/>
        <w:numPr>
          <w:ilvl w:val="0"/>
          <w:numId w:val="14"/>
        </w:numPr>
        <w:spacing w:before="240" w:beforeAutospacing="0"/>
        <w:jc w:val="both"/>
        <w:rPr>
          <w:rFonts w:asciiTheme="majorHAnsi" w:hAnsiTheme="majorHAnsi" w:cstheme="majorHAnsi"/>
        </w:rPr>
      </w:pPr>
      <w:r w:rsidRPr="007229FF">
        <w:rPr>
          <w:rFonts w:asciiTheme="majorHAnsi" w:hAnsiTheme="majorHAnsi" w:cstheme="majorHAnsi"/>
          <w:b/>
          <w:bCs/>
        </w:rPr>
        <w:t>Use of Digital Tools:</w:t>
      </w:r>
      <w:r w:rsidRPr="007229FF">
        <w:rPr>
          <w:rFonts w:asciiTheme="majorHAnsi" w:hAnsiTheme="majorHAnsi" w:cstheme="majorHAnsi"/>
        </w:rPr>
        <w:t xml:space="preserve"> The TPM shall use mobile data collection and geo-monitoring tools to improve efficiency and accuracy. GPS-enabled devices to help recording location and photos. Data security and privacy should be ensured, collecting personal information only when necessary and following Somalia’s data protection guideline </w:t>
      </w:r>
    </w:p>
    <w:p w:rsidR="000C3DA0" w:rsidRPr="007229FF" w:rsidRDefault="000C3DA0" w:rsidP="00A17835">
      <w:pPr>
        <w:pStyle w:val="NormalWeb"/>
        <w:numPr>
          <w:ilvl w:val="0"/>
          <w:numId w:val="14"/>
        </w:numPr>
        <w:spacing w:before="240" w:beforeAutospacing="0"/>
        <w:jc w:val="both"/>
        <w:rPr>
          <w:rFonts w:asciiTheme="majorHAnsi" w:hAnsiTheme="majorHAnsi" w:cstheme="majorHAnsi"/>
        </w:rPr>
      </w:pPr>
      <w:r w:rsidRPr="007229FF">
        <w:rPr>
          <w:rFonts w:asciiTheme="majorHAnsi" w:hAnsiTheme="majorHAnsi" w:cstheme="majorHAnsi"/>
          <w:b/>
          <w:bCs/>
        </w:rPr>
        <w:lastRenderedPageBreak/>
        <w:t>Process Monitoring vs. Post-Activity Verification:</w:t>
      </w:r>
      <w:r w:rsidRPr="007229FF">
        <w:rPr>
          <w:rFonts w:asciiTheme="majorHAnsi" w:hAnsiTheme="majorHAnsi" w:cstheme="majorHAnsi"/>
        </w:rPr>
        <w:t xml:space="preserve"> The TPM shall monitor activities as they happen (process monitoring) and verify results after completion (outcome verification). Field visits should capture both aspects, and when possible, process reviews and post-activity checks can be combined in a single visit. The inception report will explain how this integration is planned in the sampling and fieldwork schedule. </w:t>
      </w:r>
    </w:p>
    <w:p w:rsidR="000C3DA0" w:rsidRPr="007229FF" w:rsidRDefault="000C3DA0" w:rsidP="00A17835">
      <w:pPr>
        <w:pStyle w:val="NormalWeb"/>
        <w:numPr>
          <w:ilvl w:val="0"/>
          <w:numId w:val="14"/>
        </w:numPr>
        <w:spacing w:before="240" w:beforeAutospacing="0"/>
        <w:jc w:val="both"/>
        <w:rPr>
          <w:rFonts w:asciiTheme="majorHAnsi" w:hAnsiTheme="majorHAnsi" w:cstheme="majorHAnsi"/>
        </w:rPr>
      </w:pPr>
      <w:r w:rsidRPr="007229FF">
        <w:rPr>
          <w:rFonts w:asciiTheme="majorHAnsi" w:hAnsiTheme="majorHAnsi" w:cstheme="majorHAnsi"/>
          <w:b/>
          <w:bCs/>
        </w:rPr>
        <w:t>Stakeholder Engagement in Monitoring:</w:t>
      </w:r>
      <w:r w:rsidRPr="007229FF">
        <w:rPr>
          <w:rFonts w:asciiTheme="majorHAnsi" w:hAnsiTheme="majorHAnsi" w:cstheme="majorHAnsi"/>
        </w:rPr>
        <w:t xml:space="preserve"> The TPM shall engage a wide range of stakeholders including targeted communities, local authorities, and PMU/PIU to ensure objectivity and comprehensive insights. All project stakeholders should be consulted to cross-verify information. All interviews and group discussions will be conducted with cultural sensitivity, informed consent, and gender considerations. </w:t>
      </w:r>
    </w:p>
    <w:p w:rsidR="000C3DA0" w:rsidRPr="007229FF" w:rsidRDefault="000C3DA0" w:rsidP="00A17835">
      <w:pPr>
        <w:pStyle w:val="NormalWeb"/>
        <w:numPr>
          <w:ilvl w:val="0"/>
          <w:numId w:val="14"/>
        </w:numPr>
        <w:spacing w:before="240" w:beforeAutospacing="0"/>
        <w:jc w:val="both"/>
        <w:rPr>
          <w:rFonts w:asciiTheme="majorHAnsi" w:hAnsiTheme="majorHAnsi" w:cstheme="majorHAnsi"/>
        </w:rPr>
      </w:pPr>
      <w:r w:rsidRPr="007229FF">
        <w:rPr>
          <w:rFonts w:asciiTheme="majorHAnsi" w:hAnsiTheme="majorHAnsi" w:cstheme="majorHAnsi"/>
          <w:b/>
          <w:bCs/>
        </w:rPr>
        <w:t>Data Analysis and Reporting:</w:t>
      </w:r>
      <w:r w:rsidRPr="007229FF">
        <w:rPr>
          <w:rFonts w:asciiTheme="majorHAnsi" w:hAnsiTheme="majorHAnsi" w:cstheme="majorHAnsi"/>
        </w:rPr>
        <w:t xml:space="preserve"> The TPM shall </w:t>
      </w:r>
      <w:proofErr w:type="spellStart"/>
      <w:r w:rsidRPr="007229FF">
        <w:rPr>
          <w:rFonts w:asciiTheme="majorHAnsi" w:hAnsiTheme="majorHAnsi" w:cstheme="majorHAnsi"/>
        </w:rPr>
        <w:t>analyze</w:t>
      </w:r>
      <w:proofErr w:type="spellEnd"/>
      <w:r w:rsidRPr="007229FF">
        <w:rPr>
          <w:rFonts w:asciiTheme="majorHAnsi" w:hAnsiTheme="majorHAnsi" w:cstheme="majorHAnsi"/>
        </w:rPr>
        <w:t xml:space="preserve"> quantitative data using appropriate statistical software and systematically code qualitative data to identify themes and patterns. Findings must be triangulated and presented in clear, evidence-based reports using charts, tables, and maps, with supporting documentation annexed as required. Regular briefings with the PMU shall be conducted to facilitate timely corrective action. </w:t>
      </w:r>
    </w:p>
    <w:p w:rsidR="000C3DA0" w:rsidRPr="007229FF" w:rsidRDefault="000C3DA0" w:rsidP="00A17835">
      <w:pPr>
        <w:pStyle w:val="NormalWeb"/>
        <w:ind w:left="360"/>
        <w:jc w:val="both"/>
        <w:rPr>
          <w:rFonts w:asciiTheme="majorHAnsi" w:hAnsiTheme="majorHAnsi" w:cstheme="majorHAnsi"/>
        </w:rPr>
      </w:pPr>
      <w:r w:rsidRPr="007229FF">
        <w:rPr>
          <w:rFonts w:asciiTheme="majorHAnsi" w:hAnsiTheme="majorHAnsi" w:cstheme="majorHAnsi"/>
        </w:rPr>
        <w:t xml:space="preserve">By employing this robust mixed-methods approach; combining field observations, surveys, interviews, and digital geospatial tools, the TPM shall provide a high-fidelity picture of project implementation. </w:t>
      </w:r>
    </w:p>
    <w:p w:rsidR="000C3DA0" w:rsidRPr="001946F3" w:rsidRDefault="001946F3" w:rsidP="000C3DA0">
      <w:pPr>
        <w:pStyle w:val="Heading2"/>
        <w:jc w:val="both"/>
        <w:rPr>
          <w:rFonts w:asciiTheme="majorHAnsi" w:eastAsia="Calibri" w:hAnsiTheme="majorHAnsi" w:cstheme="majorHAnsi"/>
          <w:b/>
          <w:bCs/>
          <w:color w:val="0070C0"/>
        </w:rPr>
      </w:pPr>
      <w:r w:rsidRPr="001946F3">
        <w:rPr>
          <w:rFonts w:asciiTheme="majorHAnsi" w:eastAsia="Calibri" w:hAnsiTheme="majorHAnsi" w:cstheme="majorHAnsi"/>
          <w:b/>
          <w:bCs/>
          <w:color w:val="0070C0"/>
        </w:rPr>
        <w:t>DELIVERABLES AND PAYMENTS</w:t>
      </w:r>
    </w:p>
    <w:p w:rsidR="000C3DA0" w:rsidRPr="001946F3" w:rsidRDefault="000C3DA0" w:rsidP="001946F3">
      <w:pPr>
        <w:pStyle w:val="Heading3"/>
        <w:numPr>
          <w:ilvl w:val="0"/>
          <w:numId w:val="22"/>
        </w:numPr>
        <w:rPr>
          <w:rFonts w:cstheme="majorHAnsi"/>
          <w:b/>
          <w:bCs/>
          <w:color w:val="000000" w:themeColor="text1"/>
          <w:sz w:val="20"/>
          <w:szCs w:val="20"/>
        </w:rPr>
      </w:pPr>
      <w:r w:rsidRPr="001946F3">
        <w:rPr>
          <w:rFonts w:eastAsia="Calibri" w:cstheme="majorHAnsi"/>
          <w:b/>
          <w:bCs/>
          <w:color w:val="000000" w:themeColor="text1"/>
        </w:rPr>
        <w:t>Deliverables</w:t>
      </w:r>
    </w:p>
    <w:p w:rsidR="000C3DA0" w:rsidRPr="007229FF" w:rsidRDefault="000C3DA0" w:rsidP="00A17835">
      <w:pPr>
        <w:ind w:left="360"/>
        <w:jc w:val="both"/>
        <w:rPr>
          <w:rFonts w:asciiTheme="majorHAnsi" w:eastAsia="Calibri" w:hAnsiTheme="majorHAnsi" w:cstheme="majorHAnsi"/>
          <w:color w:val="000000"/>
        </w:rPr>
      </w:pPr>
      <w:r w:rsidRPr="007229FF">
        <w:rPr>
          <w:rFonts w:asciiTheme="majorHAnsi" w:eastAsia="Calibri" w:hAnsiTheme="majorHAnsi" w:cstheme="majorHAnsi"/>
          <w:color w:val="000000"/>
        </w:rPr>
        <w:t>Deliverables shall be organized into quarterly basis. Each quarterly task shall include the following integrated components:</w:t>
      </w:r>
    </w:p>
    <w:p w:rsidR="000C3DA0" w:rsidRPr="007229FF" w:rsidRDefault="000C3DA0" w:rsidP="00A17835">
      <w:pPr>
        <w:numPr>
          <w:ilvl w:val="0"/>
          <w:numId w:val="15"/>
        </w:numPr>
        <w:jc w:val="both"/>
        <w:rPr>
          <w:rFonts w:asciiTheme="majorHAnsi" w:eastAsia="Calibri" w:hAnsiTheme="majorHAnsi" w:cstheme="majorHAnsi"/>
          <w:color w:val="000000"/>
        </w:rPr>
      </w:pPr>
      <w:r w:rsidRPr="007229FF">
        <w:rPr>
          <w:rFonts w:asciiTheme="majorHAnsi" w:eastAsia="Calibri" w:hAnsiTheme="majorHAnsi" w:cstheme="majorHAnsi"/>
          <w:color w:val="000000"/>
        </w:rPr>
        <w:t>Process Monitoring Report: Assessing compliance with procedures, safeguards, inclusion requirements, and overall implementation quality.</w:t>
      </w:r>
    </w:p>
    <w:p w:rsidR="000C3DA0" w:rsidRPr="007229FF" w:rsidRDefault="000C3DA0" w:rsidP="00A17835">
      <w:pPr>
        <w:numPr>
          <w:ilvl w:val="0"/>
          <w:numId w:val="15"/>
        </w:numPr>
        <w:jc w:val="both"/>
        <w:rPr>
          <w:rFonts w:asciiTheme="majorHAnsi" w:eastAsia="Calibri" w:hAnsiTheme="majorHAnsi" w:cstheme="majorHAnsi"/>
          <w:color w:val="000000"/>
        </w:rPr>
      </w:pPr>
      <w:r w:rsidRPr="007229FF">
        <w:rPr>
          <w:rFonts w:asciiTheme="majorHAnsi" w:eastAsia="Calibri" w:hAnsiTheme="majorHAnsi" w:cstheme="majorHAnsi"/>
          <w:color w:val="000000"/>
        </w:rPr>
        <w:t>Output and Outcome Verification Report: Confirming delivery, functionality, quality, indicator progress (PDO &amp; IR) and beneficiary receipt and use of project-supported outputs.</w:t>
      </w:r>
    </w:p>
    <w:p w:rsidR="000C3DA0" w:rsidRPr="007229FF" w:rsidRDefault="000C3DA0" w:rsidP="00A17835">
      <w:pPr>
        <w:numPr>
          <w:ilvl w:val="0"/>
          <w:numId w:val="15"/>
        </w:numPr>
        <w:jc w:val="both"/>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Package: Submission of cleaned datasets, qualitative records, geotagged photos, GPS coordinates, and other supporting documentation demonstrating that monitoring and verification activities were conducted.</w:t>
      </w:r>
    </w:p>
    <w:p w:rsidR="000C3DA0" w:rsidRPr="007229FF" w:rsidRDefault="000C3DA0" w:rsidP="00A17835">
      <w:pPr>
        <w:numPr>
          <w:ilvl w:val="0"/>
          <w:numId w:val="15"/>
        </w:numPr>
        <w:jc w:val="both"/>
        <w:rPr>
          <w:rFonts w:asciiTheme="majorHAnsi" w:eastAsia="Calibri" w:hAnsiTheme="majorHAnsi" w:cstheme="majorHAnsi"/>
          <w:color w:val="000000"/>
        </w:rPr>
      </w:pPr>
      <w:r w:rsidRPr="007229FF">
        <w:rPr>
          <w:rFonts w:asciiTheme="majorHAnsi" w:eastAsia="Calibri" w:hAnsiTheme="majorHAnsi" w:cstheme="majorHAnsi"/>
          <w:color w:val="000000"/>
        </w:rPr>
        <w:t>PMU Briefing: Presentation of key findings, risks, and recommendations to support timely corrective action.</w:t>
      </w:r>
    </w:p>
    <w:p w:rsidR="000C3DA0" w:rsidRPr="007229FF" w:rsidRDefault="000C3DA0" w:rsidP="00A17835">
      <w:pPr>
        <w:jc w:val="both"/>
        <w:rPr>
          <w:rFonts w:asciiTheme="majorHAnsi" w:eastAsia="Calibri" w:hAnsiTheme="majorHAnsi" w:cstheme="majorHAnsi"/>
          <w:color w:val="000000"/>
        </w:rPr>
      </w:pPr>
      <w:r w:rsidRPr="007229FF">
        <w:rPr>
          <w:rFonts w:asciiTheme="majorHAnsi" w:eastAsia="Calibri" w:hAnsiTheme="majorHAnsi" w:cstheme="majorHAnsi"/>
          <w:color w:val="000000"/>
        </w:rPr>
        <w:t xml:space="preserve">The </w:t>
      </w:r>
      <w:r w:rsidRPr="007229FF">
        <w:rPr>
          <w:rFonts w:asciiTheme="majorHAnsi" w:eastAsia="Calibri" w:hAnsiTheme="majorHAnsi" w:cstheme="majorHAnsi"/>
          <w:b/>
          <w:bCs/>
          <w:color w:val="000000"/>
        </w:rPr>
        <w:t>Inception Report</w:t>
      </w:r>
      <w:r w:rsidRPr="007229FF">
        <w:rPr>
          <w:rFonts w:asciiTheme="majorHAnsi" w:eastAsia="Calibri" w:hAnsiTheme="majorHAnsi" w:cstheme="majorHAnsi"/>
          <w:color w:val="000000"/>
        </w:rPr>
        <w:t xml:space="preserve"> shall constitute the first contractual deliverable and shall define the detailed methodology, sampling framework, tools, reporting templates, and work plan for the monitoring cycle.</w:t>
      </w:r>
    </w:p>
    <w:p w:rsidR="000C3DA0" w:rsidRPr="007229FF" w:rsidRDefault="000C3DA0" w:rsidP="00A17835">
      <w:pPr>
        <w:jc w:val="both"/>
        <w:rPr>
          <w:rFonts w:asciiTheme="majorHAnsi" w:eastAsia="Calibri" w:hAnsiTheme="majorHAnsi" w:cstheme="majorHAnsi"/>
        </w:rPr>
      </w:pPr>
      <w:r w:rsidRPr="007229FF">
        <w:rPr>
          <w:rFonts w:asciiTheme="majorHAnsi" w:eastAsia="Calibri" w:hAnsiTheme="majorHAnsi" w:cstheme="majorHAnsi"/>
        </w:rPr>
        <w:t>The TPM shall support the bi-annual bank project review mission Sessions and the Project Mid-Term Review (MTR) through synthesis and presentation of monitoring findings. These activities shall not constitute separate paid deliverables and shall be covered under the quarterly contractual payments.</w:t>
      </w:r>
    </w:p>
    <w:p w:rsidR="000C3DA0" w:rsidRPr="001946F3" w:rsidRDefault="000C3DA0" w:rsidP="00A17835">
      <w:pPr>
        <w:pStyle w:val="Heading3"/>
        <w:numPr>
          <w:ilvl w:val="0"/>
          <w:numId w:val="22"/>
        </w:numPr>
        <w:jc w:val="both"/>
        <w:rPr>
          <w:rFonts w:eastAsia="Calibri" w:cstheme="majorHAnsi"/>
          <w:b/>
          <w:bCs/>
          <w:color w:val="000000" w:themeColor="text1"/>
        </w:rPr>
      </w:pPr>
      <w:r w:rsidRPr="001946F3">
        <w:rPr>
          <w:rFonts w:eastAsia="Calibri" w:cstheme="majorHAnsi"/>
          <w:b/>
          <w:bCs/>
          <w:color w:val="000000" w:themeColor="text1"/>
        </w:rPr>
        <w:lastRenderedPageBreak/>
        <w:t>Payment Schedule</w:t>
      </w:r>
    </w:p>
    <w:p w:rsidR="000C3DA0" w:rsidRPr="007229FF" w:rsidRDefault="000C3DA0" w:rsidP="00A17835">
      <w:pPr>
        <w:jc w:val="both"/>
        <w:rPr>
          <w:rFonts w:asciiTheme="majorHAnsi" w:eastAsia="Calibri" w:hAnsiTheme="majorHAnsi" w:cstheme="majorHAnsi"/>
          <w:color w:val="000000"/>
        </w:rPr>
      </w:pPr>
      <w:r w:rsidRPr="007229FF">
        <w:rPr>
          <w:rFonts w:asciiTheme="majorHAnsi" w:eastAsia="Calibri" w:hAnsiTheme="majorHAnsi" w:cstheme="majorHAnsi"/>
          <w:color w:val="000000"/>
        </w:rPr>
        <w:t xml:space="preserve">Payment shall be made on a quarterly basis upon satisfactory submission and formal acceptance of the complete quarterly deliverable tasks. No partial payments will be made for individual parts of a quarterly deliverable. </w:t>
      </w:r>
    </w:p>
    <w:p w:rsidR="000C3DA0" w:rsidRPr="007229FF" w:rsidRDefault="000C3DA0" w:rsidP="00A17835">
      <w:pPr>
        <w:jc w:val="both"/>
        <w:rPr>
          <w:rFonts w:asciiTheme="majorHAnsi" w:eastAsia="Calibri" w:hAnsiTheme="majorHAnsi" w:cstheme="majorHAnsi"/>
          <w:color w:val="000000"/>
        </w:rPr>
      </w:pPr>
      <w:r w:rsidRPr="007229FF">
        <w:rPr>
          <w:rFonts w:asciiTheme="majorHAnsi" w:eastAsia="Calibri" w:hAnsiTheme="majorHAnsi" w:cstheme="majorHAnsi"/>
          <w:color w:val="000000"/>
        </w:rPr>
        <w:t>Payment will be released only after all required reports and supporting evidence have been submitted in full compliance with the contract requirements</w:t>
      </w:r>
      <w:r w:rsidR="001946F3">
        <w:rPr>
          <w:rFonts w:asciiTheme="majorHAnsi" w:eastAsia="Calibri" w:hAnsiTheme="majorHAnsi" w:cstheme="majorHAnsi"/>
          <w:color w:val="000000"/>
        </w:rPr>
        <w:t>.</w:t>
      </w:r>
    </w:p>
    <w:p w:rsidR="00055D71" w:rsidRPr="007229FF" w:rsidRDefault="000C3DA0" w:rsidP="000C3DA0">
      <w:pPr>
        <w:spacing w:after="0" w:line="276" w:lineRule="auto"/>
        <w:rPr>
          <w:rFonts w:asciiTheme="majorHAnsi" w:eastAsia="Calibri" w:hAnsiTheme="majorHAnsi" w:cstheme="majorHAnsi"/>
          <w:u w:val="single"/>
        </w:rPr>
      </w:pPr>
      <w:r w:rsidRPr="007229FF">
        <w:rPr>
          <w:rFonts w:asciiTheme="majorHAnsi" w:eastAsia="Calibri" w:hAnsiTheme="majorHAnsi" w:cstheme="majorHAnsi"/>
          <w:u w:val="single"/>
        </w:rPr>
        <w:t>See the below table</w:t>
      </w:r>
    </w:p>
    <w:p w:rsidR="007229FF" w:rsidRPr="007229FF" w:rsidRDefault="007229FF" w:rsidP="000C3DA0">
      <w:pPr>
        <w:spacing w:after="0" w:line="276" w:lineRule="auto"/>
        <w:rPr>
          <w:rFonts w:asciiTheme="majorHAnsi" w:hAnsiTheme="majorHAnsi" w:cstheme="majorHAnsi"/>
          <w:bCs/>
          <w:color w:val="000000"/>
          <w:lang w:val="en-GB"/>
        </w:rPr>
        <w:sectPr w:rsidR="007229FF" w:rsidRPr="007229FF">
          <w:pgSz w:w="11906" w:h="16838"/>
          <w:pgMar w:top="1440" w:right="1440" w:bottom="1440" w:left="1440" w:header="708" w:footer="708" w:gutter="0"/>
          <w:cols w:space="708"/>
          <w:docGrid w:linePitch="360"/>
        </w:sectPr>
      </w:pPr>
    </w:p>
    <w:tbl>
      <w:tblPr>
        <w:tblW w:w="1388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970"/>
        <w:gridCol w:w="4261"/>
        <w:gridCol w:w="3119"/>
        <w:gridCol w:w="1474"/>
        <w:gridCol w:w="1361"/>
      </w:tblGrid>
      <w:tr w:rsidR="007229FF" w:rsidRPr="007229FF" w:rsidTr="00A17835">
        <w:trPr>
          <w:trHeight w:val="274"/>
        </w:trPr>
        <w:tc>
          <w:tcPr>
            <w:tcW w:w="1702"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lastRenderedPageBreak/>
              <w:t>Deliverable ID.</w:t>
            </w:r>
          </w:p>
        </w:tc>
        <w:tc>
          <w:tcPr>
            <w:tcW w:w="1970"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t>TPM Activities</w:t>
            </w:r>
          </w:p>
        </w:tc>
        <w:tc>
          <w:tcPr>
            <w:tcW w:w="4261"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t>Core Activities Performed</w:t>
            </w:r>
          </w:p>
        </w:tc>
        <w:tc>
          <w:tcPr>
            <w:tcW w:w="3119"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t>Required Deliverables</w:t>
            </w:r>
          </w:p>
        </w:tc>
        <w:tc>
          <w:tcPr>
            <w:tcW w:w="1474"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t>Timing / Frequency</w:t>
            </w:r>
          </w:p>
        </w:tc>
        <w:tc>
          <w:tcPr>
            <w:tcW w:w="1361" w:type="dxa"/>
            <w:shd w:val="clear" w:color="auto" w:fill="4C94D8"/>
            <w:vAlign w:val="center"/>
          </w:tcPr>
          <w:p w:rsidR="007229FF" w:rsidRPr="007229FF" w:rsidRDefault="007229FF" w:rsidP="00A17835">
            <w:pPr>
              <w:jc w:val="center"/>
              <w:rPr>
                <w:rFonts w:asciiTheme="majorHAnsi" w:eastAsia="Times New Roman" w:hAnsiTheme="majorHAnsi" w:cstheme="majorHAnsi"/>
                <w:b/>
                <w:bCs/>
                <w:color w:val="FFFF00"/>
                <w:sz w:val="22"/>
                <w:szCs w:val="22"/>
              </w:rPr>
            </w:pPr>
            <w:r w:rsidRPr="007229FF">
              <w:rPr>
                <w:rFonts w:asciiTheme="majorHAnsi" w:eastAsia="Times New Roman" w:hAnsiTheme="majorHAnsi" w:cstheme="majorHAnsi"/>
                <w:b/>
                <w:bCs/>
                <w:color w:val="FFFF00"/>
                <w:sz w:val="22"/>
                <w:szCs w:val="22"/>
              </w:rPr>
              <w:t>Payment</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D1</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Inception &amp; Mobilization</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Finalization of TPM methodology, sampling framework, tools, detail work plan, QA procedures, ethics and data protection protocols, stakeholder coordination arrangements.</w:t>
            </w:r>
          </w:p>
        </w:tc>
        <w:tc>
          <w:tcPr>
            <w:tcW w:w="3119"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 xml:space="preserve">Inception Report. </w:t>
            </w: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Q2 – 2026</w:t>
            </w:r>
          </w:p>
        </w:tc>
        <w:tc>
          <w:tcPr>
            <w:tcW w:w="1361" w:type="dxa"/>
          </w:tcPr>
          <w:p w:rsidR="007229FF" w:rsidRPr="007229FF" w:rsidRDefault="007229FF" w:rsidP="00A17835">
            <w:pPr>
              <w:ind w:right="208"/>
              <w:rPr>
                <w:rFonts w:asciiTheme="majorHAnsi" w:eastAsia="Calibri" w:hAnsiTheme="majorHAnsi" w:cstheme="majorHAnsi"/>
              </w:rPr>
            </w:pPr>
            <w:r w:rsidRPr="007229FF">
              <w:rPr>
                <w:rFonts w:asciiTheme="majorHAnsi" w:eastAsia="Calibri" w:hAnsiTheme="majorHAnsi" w:cstheme="majorHAnsi"/>
              </w:rPr>
              <w:t>5%</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D(x)A – D(x)A</w:t>
            </w:r>
          </w:p>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 xml:space="preserve">(Continues on quarterly basis) </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Process Monitoring</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Monitor the implementation of project activities/investments across the 12 project sites: infrastructure, service delivery, capacity building, institutional strengthening, legal/regulatory development and usage, safeguards compliance (ESMP, OHS, labor, GBV/SEAH), stakeholder engagement, GRM functionality, and inclusion practices through site visits, KIIs, FGDs, document review, and direct observation.</w:t>
            </w:r>
          </w:p>
        </w:tc>
        <w:tc>
          <w:tcPr>
            <w:tcW w:w="3119"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Quarterly Process Monitoring Report covering sites visited, compliance assessment, deviations, risks, safeguards status, inclusion findings, good practices, and actionable recommendations.</w:t>
            </w: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Quarterly</w:t>
            </w:r>
          </w:p>
        </w:tc>
        <w:tc>
          <w:tcPr>
            <w:tcW w:w="13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 xml:space="preserve">5% each quarter </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D(x)B – D(x)B</w:t>
            </w:r>
          </w:p>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(Continues on quarterly basis)</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Output &amp; Outcome Monitoring (Post-Activity Measurement)</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The TPM firm will be responsible for tracking and reporting on the achievement of project output and outcome indicators against both annual targets and final project targets (FY30). This means simply: measuring progress toward Project Development Objective (PDO) and Intermediate Result (IR) indicators.</w:t>
            </w:r>
          </w:p>
        </w:tc>
        <w:tc>
          <w:tcPr>
            <w:tcW w:w="3119" w:type="dxa"/>
          </w:tcPr>
          <w:p w:rsidR="007229FF" w:rsidRPr="007229FF" w:rsidRDefault="007229FF" w:rsidP="007229FF">
            <w:pPr>
              <w:numPr>
                <w:ilvl w:val="0"/>
                <w:numId w:val="16"/>
              </w:numPr>
              <w:spacing w:after="0"/>
              <w:rPr>
                <w:rFonts w:asciiTheme="majorHAnsi" w:eastAsia="Calibri" w:hAnsiTheme="majorHAnsi" w:cstheme="majorHAnsi"/>
                <w:color w:val="000000"/>
              </w:rPr>
            </w:pPr>
            <w:r w:rsidRPr="007229FF">
              <w:rPr>
                <w:rFonts w:asciiTheme="majorHAnsi" w:eastAsia="Calibri" w:hAnsiTheme="majorHAnsi" w:cstheme="majorHAnsi"/>
                <w:color w:val="000000"/>
              </w:rPr>
              <w:t>A summary of progress against the current fiscal year’s targets and cumulative achievements.</w:t>
            </w:r>
          </w:p>
          <w:p w:rsidR="007229FF" w:rsidRPr="007229FF" w:rsidRDefault="007229FF" w:rsidP="007229FF">
            <w:pPr>
              <w:numPr>
                <w:ilvl w:val="0"/>
                <w:numId w:val="16"/>
              </w:numPr>
              <w:spacing w:after="0"/>
              <w:rPr>
                <w:rFonts w:asciiTheme="majorHAnsi" w:eastAsia="Calibri" w:hAnsiTheme="majorHAnsi" w:cstheme="majorHAnsi"/>
                <w:color w:val="000000"/>
              </w:rPr>
            </w:pPr>
            <w:r w:rsidRPr="007229FF">
              <w:rPr>
                <w:rFonts w:asciiTheme="majorHAnsi" w:eastAsia="Calibri" w:hAnsiTheme="majorHAnsi" w:cstheme="majorHAnsi"/>
                <w:color w:val="000000"/>
              </w:rPr>
              <w:t>Analysis of indicator trends, bottlenecks, and explanatory insights based on field data.</w:t>
            </w:r>
          </w:p>
          <w:p w:rsidR="007229FF" w:rsidRPr="007229FF" w:rsidRDefault="007229FF" w:rsidP="007229FF">
            <w:pPr>
              <w:numPr>
                <w:ilvl w:val="0"/>
                <w:numId w:val="16"/>
              </w:numPr>
              <w:spacing w:after="0"/>
              <w:rPr>
                <w:rFonts w:asciiTheme="majorHAnsi" w:eastAsia="Calibri" w:hAnsiTheme="majorHAnsi" w:cstheme="majorHAnsi"/>
                <w:color w:val="000000"/>
              </w:rPr>
            </w:pPr>
            <w:r w:rsidRPr="007229FF">
              <w:rPr>
                <w:rFonts w:asciiTheme="majorHAnsi" w:eastAsia="Calibri" w:hAnsiTheme="majorHAnsi" w:cstheme="majorHAnsi"/>
                <w:color w:val="000000"/>
              </w:rPr>
              <w:lastRenderedPageBreak/>
              <w:t>Disaggregation of results by region, gender, and other relevant dimensions, where applicable.</w:t>
            </w:r>
          </w:p>
          <w:p w:rsidR="007229FF" w:rsidRPr="007229FF" w:rsidRDefault="007229FF" w:rsidP="007229FF">
            <w:pPr>
              <w:numPr>
                <w:ilvl w:val="0"/>
                <w:numId w:val="16"/>
              </w:numPr>
              <w:rPr>
                <w:rFonts w:asciiTheme="majorHAnsi" w:eastAsia="Calibri" w:hAnsiTheme="majorHAnsi" w:cstheme="majorHAnsi"/>
                <w:color w:val="000000"/>
              </w:rPr>
            </w:pPr>
            <w:r w:rsidRPr="007229FF">
              <w:rPr>
                <w:rFonts w:asciiTheme="majorHAnsi" w:eastAsia="Calibri" w:hAnsiTheme="majorHAnsi" w:cstheme="majorHAnsi"/>
                <w:color w:val="000000"/>
              </w:rPr>
              <w:t>Annexes containing cleaned datasets and a dynamic progress dashboard illustrating indicator performance over time.</w:t>
            </w:r>
          </w:p>
          <w:p w:rsidR="007229FF" w:rsidRPr="007229FF" w:rsidRDefault="007229FF" w:rsidP="00A17835">
            <w:pPr>
              <w:rPr>
                <w:rFonts w:asciiTheme="majorHAnsi" w:eastAsia="Calibri" w:hAnsiTheme="majorHAnsi" w:cstheme="majorHAnsi"/>
              </w:rPr>
            </w:pP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lastRenderedPageBreak/>
              <w:t>Quarterly</w:t>
            </w:r>
          </w:p>
        </w:tc>
        <w:tc>
          <w:tcPr>
            <w:tcW w:w="13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5% each quarter</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D(x)C - D(x)C</w:t>
            </w:r>
          </w:p>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(Continues on quarterly basis)</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Evidence &amp; Documentation Submission</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Consolidation and submission of all supporting evidence generated through process monitoring and verification activities. This includes quantitative and qualitative data, media, and field records demonstrating that monitoring and verification were conducted to a high professional standard.</w:t>
            </w:r>
          </w:p>
        </w:tc>
        <w:tc>
          <w:tcPr>
            <w:tcW w:w="3119"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Quarterly Evidence Package, including: cleaned quantitative datasets (XLS/CSV); qualitative data (KIIs, FGDs notes/transcripts); geotagged photos and videos; GPS coordinates; attendance sheets; logs and checklists; audio recordings where ethically permissible; and sampling documentation.</w:t>
            </w: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Quarterly</w:t>
            </w:r>
          </w:p>
        </w:tc>
        <w:tc>
          <w:tcPr>
            <w:tcW w:w="13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5% each quarter</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D(x)D - D(x)D</w:t>
            </w:r>
          </w:p>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(Continues on quarterly basis)</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Reporting, Communication &amp; Decision Support</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 xml:space="preserve">Synthesis of findings for decision-makers; prioritization of urgent risks; documentation of lessons learned, identification of 2 or 3 interesting stories and case studies during monitoring; </w:t>
            </w:r>
            <w:r w:rsidRPr="007229FF">
              <w:rPr>
                <w:rFonts w:asciiTheme="majorHAnsi" w:eastAsia="Calibri" w:hAnsiTheme="majorHAnsi" w:cstheme="majorHAnsi"/>
              </w:rPr>
              <w:lastRenderedPageBreak/>
              <w:t>participation in quarterly review meetings with MFBE and the World Bank.</w:t>
            </w:r>
          </w:p>
        </w:tc>
        <w:tc>
          <w:tcPr>
            <w:tcW w:w="3119"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lastRenderedPageBreak/>
              <w:t xml:space="preserve">Quarterly TPM Briefing / Presentation, integrated within the quarterly reporting package, summarizing key findings, risks, lessons </w:t>
            </w:r>
            <w:r w:rsidRPr="007229FF">
              <w:rPr>
                <w:rFonts w:asciiTheme="majorHAnsi" w:eastAsia="Calibri" w:hAnsiTheme="majorHAnsi" w:cstheme="majorHAnsi"/>
              </w:rPr>
              <w:lastRenderedPageBreak/>
              <w:t>learned, 2 or 3 interesting stories and case studies during monitoring, and priority recommendations.</w:t>
            </w: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lastRenderedPageBreak/>
              <w:t>Quarterly</w:t>
            </w:r>
          </w:p>
        </w:tc>
        <w:tc>
          <w:tcPr>
            <w:tcW w:w="13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5% each quarter</w:t>
            </w:r>
          </w:p>
        </w:tc>
      </w:tr>
      <w:tr w:rsidR="007229FF" w:rsidRPr="007229FF" w:rsidTr="00A17835">
        <w:tc>
          <w:tcPr>
            <w:tcW w:w="1702"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MTR &amp; Project review mission.</w:t>
            </w:r>
          </w:p>
        </w:tc>
        <w:tc>
          <w:tcPr>
            <w:tcW w:w="1970"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MTR, Bank project review mission.</w:t>
            </w:r>
          </w:p>
        </w:tc>
        <w:tc>
          <w:tcPr>
            <w:tcW w:w="42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 xml:space="preserve">Participation of MTR, Bank project review mission - support PMU provide data and presentations, lessons learned, and selected illustrative examples drawn from quarterly monitoring. </w:t>
            </w:r>
          </w:p>
        </w:tc>
        <w:tc>
          <w:tcPr>
            <w:tcW w:w="3119"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Technical Inputs to Bi-annual MTR, Bank project review mission (presentations, discussion inputs).</w:t>
            </w:r>
          </w:p>
        </w:tc>
        <w:tc>
          <w:tcPr>
            <w:tcW w:w="1474"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Bi-annual</w:t>
            </w:r>
          </w:p>
        </w:tc>
        <w:tc>
          <w:tcPr>
            <w:tcW w:w="1361" w:type="dxa"/>
          </w:tcPr>
          <w:p w:rsidR="007229FF" w:rsidRPr="007229FF" w:rsidRDefault="007229FF" w:rsidP="00A17835">
            <w:pPr>
              <w:rPr>
                <w:rFonts w:asciiTheme="majorHAnsi" w:eastAsia="Calibri" w:hAnsiTheme="majorHAnsi" w:cstheme="majorHAnsi"/>
              </w:rPr>
            </w:pPr>
            <w:r w:rsidRPr="007229FF">
              <w:rPr>
                <w:rFonts w:asciiTheme="majorHAnsi" w:eastAsia="Calibri" w:hAnsiTheme="majorHAnsi" w:cstheme="majorHAnsi"/>
              </w:rPr>
              <w:t>N/A</w:t>
            </w:r>
          </w:p>
        </w:tc>
      </w:tr>
    </w:tbl>
    <w:p w:rsidR="007229FF" w:rsidRPr="007229FF" w:rsidRDefault="007229FF" w:rsidP="000C3DA0">
      <w:pPr>
        <w:spacing w:after="0" w:line="276" w:lineRule="auto"/>
        <w:rPr>
          <w:rFonts w:asciiTheme="majorHAnsi" w:hAnsiTheme="majorHAnsi" w:cstheme="majorHAnsi"/>
          <w:bCs/>
          <w:color w:val="000000"/>
          <w:lang w:val="en-GB"/>
        </w:rPr>
      </w:pPr>
    </w:p>
    <w:p w:rsidR="007229FF" w:rsidRPr="00A17835" w:rsidRDefault="007229FF" w:rsidP="00A17835">
      <w:pPr>
        <w:pStyle w:val="ListParagraph"/>
        <w:numPr>
          <w:ilvl w:val="0"/>
          <w:numId w:val="18"/>
        </w:numPr>
        <w:spacing w:after="0"/>
        <w:jc w:val="both"/>
        <w:rPr>
          <w:rFonts w:asciiTheme="majorHAnsi" w:eastAsia="Calibri" w:hAnsiTheme="majorHAnsi" w:cstheme="majorHAnsi"/>
          <w:color w:val="000000"/>
        </w:rPr>
      </w:pPr>
      <w:r w:rsidRPr="00A17835">
        <w:rPr>
          <w:rFonts w:asciiTheme="majorHAnsi" w:eastAsia="Calibri" w:hAnsiTheme="majorHAnsi" w:cstheme="majorHAnsi"/>
          <w:color w:val="000000"/>
        </w:rPr>
        <w:t>Payments shall be made on a quarterly basis throughout the duration of the assignment.</w:t>
      </w:r>
    </w:p>
    <w:p w:rsidR="007229FF" w:rsidRPr="00A17835" w:rsidRDefault="007229FF" w:rsidP="00A17835">
      <w:pPr>
        <w:pStyle w:val="ListParagraph"/>
        <w:numPr>
          <w:ilvl w:val="0"/>
          <w:numId w:val="18"/>
        </w:numPr>
        <w:spacing w:after="0"/>
        <w:jc w:val="both"/>
        <w:rPr>
          <w:rFonts w:asciiTheme="majorHAnsi" w:eastAsia="Calibri" w:hAnsiTheme="majorHAnsi" w:cstheme="majorHAnsi"/>
          <w:color w:val="000000"/>
        </w:rPr>
      </w:pPr>
      <w:r w:rsidRPr="00A17835">
        <w:rPr>
          <w:rFonts w:asciiTheme="majorHAnsi" w:eastAsia="Calibri" w:hAnsiTheme="majorHAnsi" w:cstheme="majorHAnsi"/>
          <w:color w:val="000000"/>
        </w:rPr>
        <w:t>Each quarter shall comprise a minimum of four (4) required deliverables, which together form one complete Quarterly Deliverable tasks.</w:t>
      </w:r>
    </w:p>
    <w:p w:rsidR="007229FF" w:rsidRPr="00A17835" w:rsidRDefault="007229FF" w:rsidP="00A17835">
      <w:pPr>
        <w:pStyle w:val="ListParagraph"/>
        <w:numPr>
          <w:ilvl w:val="0"/>
          <w:numId w:val="18"/>
        </w:numPr>
        <w:spacing w:after="0"/>
        <w:jc w:val="both"/>
        <w:rPr>
          <w:rFonts w:asciiTheme="majorHAnsi" w:eastAsia="Calibri" w:hAnsiTheme="majorHAnsi" w:cstheme="majorHAnsi"/>
          <w:color w:val="000000"/>
        </w:rPr>
      </w:pPr>
      <w:r w:rsidRPr="00A17835">
        <w:rPr>
          <w:rFonts w:asciiTheme="majorHAnsi" w:eastAsia="Calibri" w:hAnsiTheme="majorHAnsi" w:cstheme="majorHAnsi"/>
          <w:color w:val="000000"/>
        </w:rPr>
        <w:t xml:space="preserve">The assignment covers five (5) years, equivalent to twenty (18) quarters, resulting in </w:t>
      </w:r>
      <w:proofErr w:type="gramStart"/>
      <w:r w:rsidRPr="00A17835">
        <w:rPr>
          <w:rFonts w:asciiTheme="majorHAnsi" w:eastAsia="Calibri" w:hAnsiTheme="majorHAnsi" w:cstheme="majorHAnsi"/>
          <w:color w:val="000000"/>
        </w:rPr>
        <w:t>a total of seventy</w:t>
      </w:r>
      <w:proofErr w:type="gramEnd"/>
      <w:r w:rsidRPr="00A17835">
        <w:rPr>
          <w:rFonts w:asciiTheme="majorHAnsi" w:eastAsia="Calibri" w:hAnsiTheme="majorHAnsi" w:cstheme="majorHAnsi"/>
          <w:color w:val="000000"/>
        </w:rPr>
        <w:t xml:space="preserve"> (70) deliverables over the contract period.</w:t>
      </w:r>
    </w:p>
    <w:p w:rsidR="007229FF" w:rsidRPr="00A17835" w:rsidRDefault="007229FF" w:rsidP="00A17835">
      <w:pPr>
        <w:pStyle w:val="ListParagraph"/>
        <w:numPr>
          <w:ilvl w:val="0"/>
          <w:numId w:val="18"/>
        </w:numPr>
        <w:spacing w:after="0"/>
        <w:jc w:val="both"/>
        <w:rPr>
          <w:rFonts w:asciiTheme="majorHAnsi" w:eastAsia="Calibri" w:hAnsiTheme="majorHAnsi" w:cstheme="majorHAnsi"/>
          <w:color w:val="000000"/>
        </w:rPr>
      </w:pPr>
      <w:r w:rsidRPr="00A17835">
        <w:rPr>
          <w:rFonts w:asciiTheme="majorHAnsi" w:eastAsia="Calibri" w:hAnsiTheme="majorHAnsi" w:cstheme="majorHAnsi"/>
          <w:color w:val="000000"/>
        </w:rPr>
        <w:t>For detail breakdown of the deliverables see annex (1), and annex (2) for the budget breakdown.</w:t>
      </w:r>
    </w:p>
    <w:p w:rsidR="007229FF" w:rsidRPr="007229FF" w:rsidRDefault="007229FF" w:rsidP="007229FF">
      <w:pPr>
        <w:tabs>
          <w:tab w:val="left" w:pos="1627"/>
        </w:tabs>
        <w:rPr>
          <w:rFonts w:asciiTheme="majorHAnsi" w:hAnsiTheme="majorHAnsi" w:cstheme="majorHAnsi"/>
          <w:lang w:val="en-GB"/>
        </w:rPr>
        <w:sectPr w:rsidR="007229FF" w:rsidRPr="007229FF" w:rsidSect="007229FF">
          <w:pgSz w:w="16838" w:h="11906" w:orient="landscape"/>
          <w:pgMar w:top="1440" w:right="1440" w:bottom="1440" w:left="1440" w:header="708" w:footer="708" w:gutter="0"/>
          <w:cols w:space="708"/>
          <w:docGrid w:linePitch="360"/>
        </w:sectPr>
      </w:pPr>
      <w:r w:rsidRPr="007229FF">
        <w:rPr>
          <w:rFonts w:asciiTheme="majorHAnsi" w:hAnsiTheme="majorHAnsi" w:cstheme="majorHAnsi"/>
          <w:lang w:val="en-GB"/>
        </w:rPr>
        <w:tab/>
      </w:r>
    </w:p>
    <w:p w:rsidR="007229FF" w:rsidRPr="007229FF" w:rsidRDefault="007229FF" w:rsidP="007229FF">
      <w:pPr>
        <w:pStyle w:val="Heading2"/>
        <w:jc w:val="both"/>
        <w:rPr>
          <w:rFonts w:asciiTheme="majorHAnsi" w:eastAsia="Calibri" w:hAnsiTheme="majorHAnsi" w:cstheme="majorHAnsi"/>
          <w:b/>
          <w:bCs/>
        </w:rPr>
      </w:pPr>
      <w:r w:rsidRPr="007229FF">
        <w:rPr>
          <w:rFonts w:asciiTheme="majorHAnsi" w:eastAsia="Calibri" w:hAnsiTheme="majorHAnsi" w:cstheme="majorHAnsi"/>
          <w:b/>
          <w:bCs/>
        </w:rPr>
        <w:lastRenderedPageBreak/>
        <w:t>Team Composition and Qualifications</w:t>
      </w:r>
    </w:p>
    <w:p w:rsidR="007229FF" w:rsidRPr="007229FF" w:rsidRDefault="007229FF" w:rsidP="00A17835">
      <w:pPr>
        <w:pStyle w:val="NormalWeb"/>
        <w:numPr>
          <w:ilvl w:val="0"/>
          <w:numId w:val="19"/>
        </w:numPr>
        <w:jc w:val="both"/>
        <w:rPr>
          <w:rFonts w:asciiTheme="majorHAnsi" w:hAnsiTheme="majorHAnsi" w:cstheme="majorHAnsi"/>
        </w:rPr>
      </w:pPr>
      <w:r w:rsidRPr="007229FF">
        <w:rPr>
          <w:rFonts w:asciiTheme="majorHAnsi" w:hAnsiTheme="majorHAnsi" w:cstheme="majorHAnsi"/>
        </w:rPr>
        <w:t xml:space="preserve">The TPM firm should propose a multidisciplinary team with the experience and skills required to cover the full scope of this assignment. </w:t>
      </w:r>
    </w:p>
    <w:p w:rsidR="007229FF" w:rsidRPr="007229FF" w:rsidRDefault="007229FF" w:rsidP="00A17835">
      <w:pPr>
        <w:pStyle w:val="NormalWeb"/>
        <w:numPr>
          <w:ilvl w:val="0"/>
          <w:numId w:val="19"/>
        </w:numPr>
        <w:jc w:val="both"/>
        <w:rPr>
          <w:rFonts w:asciiTheme="majorHAnsi" w:hAnsiTheme="majorHAnsi" w:cstheme="majorHAnsi"/>
        </w:rPr>
      </w:pPr>
      <w:r w:rsidRPr="007229FF">
        <w:rPr>
          <w:rFonts w:asciiTheme="majorHAnsi" w:hAnsiTheme="majorHAnsi" w:cstheme="majorHAnsi"/>
        </w:rPr>
        <w:t>The team must collectively have strong M&amp;E expertise, sectoral knowledge (fisheries and marine infrastructure), and on-ground presence in Somalia. At a minimum, the core team is expected to include:</w:t>
      </w:r>
    </w:p>
    <w:p w:rsidR="007229FF" w:rsidRPr="007229FF" w:rsidRDefault="007229FF" w:rsidP="00A17835">
      <w:pPr>
        <w:pStyle w:val="NormalWeb"/>
        <w:numPr>
          <w:ilvl w:val="0"/>
          <w:numId w:val="21"/>
        </w:numPr>
        <w:jc w:val="both"/>
        <w:rPr>
          <w:rFonts w:asciiTheme="majorHAnsi" w:hAnsiTheme="majorHAnsi" w:cstheme="majorHAnsi"/>
        </w:rPr>
      </w:pPr>
      <w:r w:rsidRPr="007229FF">
        <w:rPr>
          <w:rFonts w:asciiTheme="majorHAnsi" w:hAnsiTheme="majorHAnsi" w:cstheme="majorHAnsi"/>
          <w:b/>
          <w:bCs/>
        </w:rPr>
        <w:t>Team Leader /M&amp;E:</w:t>
      </w:r>
      <w:r w:rsidRPr="007229FF">
        <w:rPr>
          <w:rFonts w:asciiTheme="majorHAnsi" w:hAnsiTheme="majorHAnsi" w:cstheme="majorHAnsi"/>
        </w:rPr>
        <w:t xml:space="preserve"> A highly experienced expert (preferably with a Master’s or higher in a relevant field) who will lead the TPM team. The Team Leader should have at least 7–10 years of experience in managing large-scale monitoring and evaluation assignments, ideally for development projects in fragile or conflict-affected contexts funded by huge donors such as World Bank and other donors. Experience in Africa and Somalia in particular is highly desirable. The Team Leader will be responsible for overall coordination, quality assurance of all deliverables, and liaison with the client. Strong skills in evaluation design, data analysis, and report writing are required, as well as fluency in English. (Somali language proficiency would be an asset.)</w:t>
      </w:r>
    </w:p>
    <w:p w:rsidR="007229FF" w:rsidRPr="007229FF" w:rsidRDefault="007229FF" w:rsidP="00A17835">
      <w:pPr>
        <w:pStyle w:val="NormalWeb"/>
        <w:numPr>
          <w:ilvl w:val="0"/>
          <w:numId w:val="21"/>
        </w:numPr>
        <w:spacing w:before="240" w:beforeAutospacing="0"/>
        <w:jc w:val="both"/>
        <w:rPr>
          <w:rFonts w:asciiTheme="majorHAnsi" w:hAnsiTheme="majorHAnsi" w:cstheme="majorHAnsi"/>
        </w:rPr>
      </w:pPr>
      <w:r w:rsidRPr="007229FF">
        <w:rPr>
          <w:rFonts w:asciiTheme="majorHAnsi" w:hAnsiTheme="majorHAnsi" w:cstheme="majorHAnsi"/>
          <w:b/>
          <w:bCs/>
        </w:rPr>
        <w:t>Infrastructure Monitoring Specialist (Civil Engineer):</w:t>
      </w:r>
      <w:r w:rsidRPr="007229FF">
        <w:rPr>
          <w:rFonts w:asciiTheme="majorHAnsi" w:hAnsiTheme="majorHAnsi" w:cstheme="majorHAnsi"/>
        </w:rPr>
        <w:t xml:space="preserve"> A qualified civil engineer or infrastructure specialist with experience in construction supervision or audits. This expert should be familiar with small-scale civil works and preferably coastal/fisheries infrastructure. They will inspect the quality of works, verify technical specifications, and assess OHS practices on site. At least 5 years of relevant experience and knowledge of climate-resilient construction standards are expected. This role ensures the TPM can credibly assess the infrastructure component.</w:t>
      </w:r>
    </w:p>
    <w:p w:rsidR="007229FF" w:rsidRPr="007229FF" w:rsidRDefault="007229FF" w:rsidP="00A17835">
      <w:pPr>
        <w:pStyle w:val="NormalWeb"/>
        <w:numPr>
          <w:ilvl w:val="0"/>
          <w:numId w:val="21"/>
        </w:numPr>
        <w:spacing w:before="240" w:beforeAutospacing="0"/>
        <w:jc w:val="both"/>
        <w:rPr>
          <w:rFonts w:asciiTheme="majorHAnsi" w:hAnsiTheme="majorHAnsi" w:cstheme="majorHAnsi"/>
        </w:rPr>
      </w:pPr>
      <w:r w:rsidRPr="007229FF">
        <w:rPr>
          <w:rFonts w:asciiTheme="majorHAnsi" w:hAnsiTheme="majorHAnsi" w:cstheme="majorHAnsi"/>
          <w:b/>
          <w:bCs/>
        </w:rPr>
        <w:t>Environmental and Social Safeguards Specialist:</w:t>
      </w:r>
      <w:r w:rsidRPr="007229FF">
        <w:rPr>
          <w:rFonts w:asciiTheme="majorHAnsi" w:hAnsiTheme="majorHAnsi" w:cstheme="majorHAnsi"/>
        </w:rPr>
        <w:t xml:space="preserve"> An expert knowledgeable about the World Bank’s Environmental and Social Framework (ESF) and related safeguard instruments. This specialist (or two separate specialists for environment and social, if needed) should have experience monitoring compliance with ESMPs, environmental impact mitigation, and OHS standards, as well as social risk management (community engagement, land acquisition issues, </w:t>
      </w:r>
      <w:proofErr w:type="spellStart"/>
      <w:r w:rsidRPr="007229FF">
        <w:rPr>
          <w:rFonts w:asciiTheme="majorHAnsi" w:hAnsiTheme="majorHAnsi" w:cstheme="majorHAnsi"/>
        </w:rPr>
        <w:t>labor</w:t>
      </w:r>
      <w:proofErr w:type="spellEnd"/>
      <w:r w:rsidRPr="007229FF">
        <w:rPr>
          <w:rFonts w:asciiTheme="majorHAnsi" w:hAnsiTheme="majorHAnsi" w:cstheme="majorHAnsi"/>
        </w:rPr>
        <w:t xml:space="preserve">, and GBV/SEAH prevention). They will lead the assessment of safeguard compliance and support the team in handling sensitive issues (e.g. conducting confidential interviews regarding SEAH or </w:t>
      </w:r>
      <w:proofErr w:type="spellStart"/>
      <w:r w:rsidRPr="007229FF">
        <w:rPr>
          <w:rFonts w:asciiTheme="majorHAnsi" w:hAnsiTheme="majorHAnsi" w:cstheme="majorHAnsi"/>
        </w:rPr>
        <w:t>labor</w:t>
      </w:r>
      <w:proofErr w:type="spellEnd"/>
      <w:r w:rsidRPr="007229FF">
        <w:rPr>
          <w:rFonts w:asciiTheme="majorHAnsi" w:hAnsiTheme="majorHAnsi" w:cstheme="majorHAnsi"/>
        </w:rPr>
        <w:t xml:space="preserve"> grievances). A background in environmental science/engineering or social development (master’s level) with 5+ years of field experience is expected.</w:t>
      </w:r>
    </w:p>
    <w:p w:rsidR="007229FF" w:rsidRPr="007229FF" w:rsidRDefault="007229FF" w:rsidP="00A17835">
      <w:pPr>
        <w:pStyle w:val="NormalWeb"/>
        <w:numPr>
          <w:ilvl w:val="0"/>
          <w:numId w:val="21"/>
        </w:numPr>
        <w:spacing w:before="240" w:beforeAutospacing="0"/>
        <w:jc w:val="both"/>
        <w:rPr>
          <w:rFonts w:asciiTheme="majorHAnsi" w:hAnsiTheme="majorHAnsi" w:cstheme="majorHAnsi"/>
        </w:rPr>
      </w:pPr>
      <w:r w:rsidRPr="007229FF">
        <w:rPr>
          <w:rFonts w:asciiTheme="majorHAnsi" w:hAnsiTheme="majorHAnsi" w:cstheme="majorHAnsi"/>
          <w:b/>
          <w:bCs/>
        </w:rPr>
        <w:t>Gender and Inclusion Specialist:</w:t>
      </w:r>
      <w:r w:rsidRPr="007229FF">
        <w:rPr>
          <w:rFonts w:asciiTheme="majorHAnsi" w:hAnsiTheme="majorHAnsi" w:cstheme="majorHAnsi"/>
        </w:rPr>
        <w:t xml:space="preserve"> (This role could be combined with the social safeguards specialist if one person has the requisite expertise.) The specialist will focus on gender dynamics, GBV risk mitigation, and inclusion of vulnerable groups. They should bring experience in gender analysis and GBV in Somalia or similar contexts, and be capable of training the TPM field teams on how to identify and respond to GBV/SEAH disclosures ethically. They will also ensure that data collection approaches are gender-sensitive. This specialist will contribute to </w:t>
      </w:r>
      <w:proofErr w:type="spellStart"/>
      <w:r w:rsidRPr="007229FF">
        <w:rPr>
          <w:rFonts w:asciiTheme="majorHAnsi" w:hAnsiTheme="majorHAnsi" w:cstheme="majorHAnsi"/>
        </w:rPr>
        <w:t>analyzing</w:t>
      </w:r>
      <w:proofErr w:type="spellEnd"/>
      <w:r w:rsidRPr="007229FF">
        <w:rPr>
          <w:rFonts w:asciiTheme="majorHAnsi" w:hAnsiTheme="majorHAnsi" w:cstheme="majorHAnsi"/>
        </w:rPr>
        <w:t xml:space="preserve"> how well the project is reaching women, youth, IDPs, minority clans, and persons with disabilities, and propose improvements. A minimum of 5 years relevant experience is required.</w:t>
      </w:r>
    </w:p>
    <w:p w:rsidR="007229FF" w:rsidRPr="007229FF" w:rsidRDefault="007229FF" w:rsidP="00A17835">
      <w:pPr>
        <w:pStyle w:val="NormalWeb"/>
        <w:numPr>
          <w:ilvl w:val="0"/>
          <w:numId w:val="21"/>
        </w:numPr>
        <w:jc w:val="both"/>
        <w:rPr>
          <w:rFonts w:asciiTheme="majorHAnsi" w:hAnsiTheme="majorHAnsi" w:cstheme="majorHAnsi"/>
        </w:rPr>
      </w:pPr>
      <w:r w:rsidRPr="007229FF">
        <w:rPr>
          <w:rFonts w:asciiTheme="majorHAnsi" w:hAnsiTheme="majorHAnsi" w:cstheme="majorHAnsi"/>
          <w:b/>
          <w:bCs/>
        </w:rPr>
        <w:lastRenderedPageBreak/>
        <w:t>Data Analyst:</w:t>
      </w:r>
      <w:r w:rsidRPr="007229FF">
        <w:rPr>
          <w:rFonts w:asciiTheme="majorHAnsi" w:hAnsiTheme="majorHAnsi" w:cstheme="majorHAnsi"/>
        </w:rPr>
        <w:t xml:space="preserve"> A statistician or M&amp;E data person who will design survey sampling, manage data quality, and conduct quantitative analysis. This person should be skilled in using statistical software (Stata, SPSS, or R) and in electronic data collection system design. They will ensure that survey questionnaires are programmed in the chosen tool (Kobo/ODK) correctly, perform data cleaning, and generate tables/graphs for reports. Experience with large household or beneficiary surveys is important. They should also implement data verification protocols (spot-checking enumerators, etc.). At least a Bachelor’s (preferably Master’s) in a quantitative field and 5 years of experience in survey research is desired.</w:t>
      </w:r>
    </w:p>
    <w:p w:rsidR="007229FF" w:rsidRPr="007229FF" w:rsidRDefault="007229FF" w:rsidP="00A17835">
      <w:pPr>
        <w:pStyle w:val="NormalWeb"/>
        <w:numPr>
          <w:ilvl w:val="0"/>
          <w:numId w:val="21"/>
        </w:numPr>
        <w:spacing w:before="240" w:beforeAutospacing="0"/>
        <w:jc w:val="both"/>
        <w:rPr>
          <w:rFonts w:asciiTheme="majorHAnsi" w:hAnsiTheme="majorHAnsi" w:cstheme="majorHAnsi"/>
        </w:rPr>
      </w:pPr>
      <w:r w:rsidRPr="007229FF">
        <w:rPr>
          <w:rFonts w:asciiTheme="majorHAnsi" w:hAnsiTheme="majorHAnsi" w:cstheme="majorHAnsi"/>
          <w:b/>
          <w:bCs/>
        </w:rPr>
        <w:t>Enumerators:</w:t>
      </w:r>
      <w:r w:rsidRPr="007229FF">
        <w:rPr>
          <w:rFonts w:asciiTheme="majorHAnsi" w:hAnsiTheme="majorHAnsi" w:cstheme="majorHAnsi"/>
        </w:rPr>
        <w:t xml:space="preserve"> Sufficient number of field data collectors to cover the target project sites, including field supervisors and enumerators for quantitative surveys, and qualitative researchers for interviews/FGDs. Field staff must speak Somali (and relevant local dialects where needed) and be familiar with the local context. Supervisors should have prior experience managing data collection teams in Somalia (3+ years) and at least a Bachelor’s degree. Enumerators/Researchers should have relevant education (e.g. diploma or degree) and experience in conducting interviews or surveys (preferably on similar assignments). The TPM firm should ensure a gender-balanced field team (to allow women respondents to speak freely) and include personnel trained in handling sensitive topics. For security and access, a network of local partners or facilitators in each Federal Member State is highly recommended.</w:t>
      </w:r>
    </w:p>
    <w:p w:rsidR="007229FF" w:rsidRPr="007229FF" w:rsidRDefault="007229FF" w:rsidP="00A17835">
      <w:pPr>
        <w:pStyle w:val="NormalWeb"/>
        <w:jc w:val="both"/>
        <w:rPr>
          <w:rFonts w:asciiTheme="majorHAnsi" w:hAnsiTheme="majorHAnsi" w:cstheme="majorHAnsi"/>
        </w:rPr>
      </w:pPr>
      <w:r w:rsidRPr="007229FF">
        <w:rPr>
          <w:rFonts w:asciiTheme="majorHAnsi" w:hAnsiTheme="majorHAnsi" w:cstheme="majorHAnsi"/>
        </w:rPr>
        <w:t>In addition to the above, the TPM may include specialists such as a Fisheries Sector Expert (to provide technical insight on fisheries operations, co-management, and value chains) or an ICT Specialist (to support the assessment of the digital systems like FIMS/MCS). These roles can be on a part-time or advisory basis if needed.</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b/>
          <w:bCs/>
          <w:color w:val="000000"/>
        </w:rPr>
        <w:t>Firm Qualifications:</w:t>
      </w:r>
      <w:r w:rsidRPr="007229FF">
        <w:rPr>
          <w:rFonts w:asciiTheme="majorHAnsi" w:eastAsia="Calibri" w:hAnsiTheme="majorHAnsi" w:cstheme="majorHAnsi"/>
          <w:color w:val="000000"/>
        </w:rPr>
        <w:t xml:space="preserve"> The TPM firm must have a demonstrated track record in conducting third-party monitoring or independent evaluation in complex environments. Key requirements include: at least 10 years of experience in field monitoring with mixed methods; prior work in Somalia or similar fragile contexts; the ability to mobilize teams across dispersed and insecure areas; and robust organizational systems for data quality and security. The firm should either be based in Somalia or have a strong local partnership – international firms must have a locally registered entity or partner and a permanent presence in Somalia to ensure access and cultural familiarity. Evidence of having successfully delivered similar TPM assignments (e.g. for World Bank, UN, or international NGOs) will be considered favorably. The firm must also demonstrate neutrality and independence, with no conflicts of interest in relation to project implementation entities.</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b/>
          <w:bCs/>
          <w:color w:val="000000"/>
        </w:rPr>
        <w:t>Operational Requirements:</w:t>
      </w:r>
      <w:r w:rsidRPr="007229FF">
        <w:rPr>
          <w:rFonts w:asciiTheme="majorHAnsi" w:eastAsia="Calibri" w:hAnsiTheme="majorHAnsi" w:cstheme="majorHAnsi"/>
          <w:color w:val="000000"/>
        </w:rPr>
        <w:t xml:space="preserve"> The TPM team will arrange its own logistics for fieldwork (transportation, security arrangements, etc.). All team members must adhere to security protocols and be briefed on the local context. Non-Somali team members should have experience working through remote management if direct field presence is limited. The TPM must have data management systems capable of handling large volumes of information and ensuring confidentiality (especially for sensitive social data). A clear management structure should be defined, with the Team Leader overseeing all activities and a field coordinator managing day-to-day operations of field teams. There should also include a contingency plan </w:t>
      </w:r>
      <w:r w:rsidRPr="007229FF">
        <w:rPr>
          <w:rFonts w:asciiTheme="majorHAnsi" w:eastAsia="Calibri" w:hAnsiTheme="majorHAnsi" w:cstheme="majorHAnsi"/>
          <w:color w:val="000000"/>
        </w:rPr>
        <w:lastRenderedPageBreak/>
        <w:t>for how monitoring will continue during periods of heightened insecurity or movement restrictions (e.g. reliance on remote monitoring tools, engaging community monitors, etc.).</w:t>
      </w:r>
    </w:p>
    <w:p w:rsidR="007229FF" w:rsidRPr="001946F3" w:rsidRDefault="001946F3" w:rsidP="007229FF">
      <w:pPr>
        <w:pStyle w:val="Heading2"/>
        <w:rPr>
          <w:rFonts w:asciiTheme="majorHAnsi" w:eastAsia="Calibri" w:hAnsiTheme="majorHAnsi" w:cstheme="majorHAnsi"/>
          <w:b/>
          <w:bCs/>
          <w:color w:val="0070C0"/>
        </w:rPr>
      </w:pPr>
      <w:bookmarkStart w:id="3" w:name="bookmark=id.yhbllimjpin" w:colFirst="0" w:colLast="0"/>
      <w:bookmarkEnd w:id="3"/>
      <w:r w:rsidRPr="001946F3">
        <w:rPr>
          <w:rFonts w:asciiTheme="majorHAnsi" w:eastAsia="Calibri" w:hAnsiTheme="majorHAnsi" w:cstheme="majorHAnsi"/>
          <w:b/>
          <w:bCs/>
          <w:color w:val="0070C0"/>
        </w:rPr>
        <w:t>DURATION, CONTRACTING AND PERFORMANCE MANAGEMENT</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color w:val="000000"/>
        </w:rPr>
        <w:t>The TPM assignment is intended as a long-term partnership aligned with the Badmaal project’s implementation period up to 2030, based on performance, the project’s needs, and availability of funding. The continuation of the service will be based on TPM firm delivering satisfactory services and outputs in the prior year, as determined by MFBE and the World Bank during performance reviews. This approach allows for adjustments in scope or focus over time, and for either party to reassess the engagement as the project evolves.</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b/>
          <w:bCs/>
          <w:color w:val="000000"/>
        </w:rPr>
        <w:t>Work Plan and Level of Effort:</w:t>
      </w:r>
      <w:r w:rsidRPr="007229FF">
        <w:rPr>
          <w:rFonts w:asciiTheme="majorHAnsi" w:eastAsia="Calibri" w:hAnsiTheme="majorHAnsi" w:cstheme="majorHAnsi"/>
          <w:color w:val="000000"/>
        </w:rPr>
        <w:t xml:space="preserve"> The TPM is expected to provide continuous monitoring throughout the contract period. While specific level of effort will be agreed in contract negotiations, it is anticipated that the firm will conduct field missions or survey rounds on a quarterly basis (4 rounds per year) with analysis and reporting after each round. The TPM should also allocate resources for ongoing data management and for rapid checks/investigations if urgent issues arise between scheduled rounds. Each annual work plan will be approved by the client, outlining the sites to be covered and the focus areas for that year (which might evolve as the project progresses, for example shifting more to outcome evaluation in later years).</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b/>
          <w:bCs/>
          <w:color w:val="000000"/>
        </w:rPr>
        <w:t>Coordination and Oversight:</w:t>
      </w:r>
      <w:r w:rsidRPr="007229FF">
        <w:rPr>
          <w:rFonts w:asciiTheme="majorHAnsi" w:eastAsia="Calibri" w:hAnsiTheme="majorHAnsi" w:cstheme="majorHAnsi"/>
          <w:color w:val="000000"/>
        </w:rPr>
        <w:t xml:space="preserve"> The TPM firm will report to the Project Management Unit at MFBE specifically to the National Project Coordinator and working closely to the with M&amp;E unit for day-to-day coordination. The PMU will designate a TPM Focal Point to facilitate communications, provide project documents/data, and assist in organizing site access with local authorities. The TPM is expected to maintain regular communication with the client, including ad hoc check-in meetings to update on progress and any obstacles. All significant findings, especially any allegations of misconduct or serious safety issues, must be communicated immediately to the PMU’s NPC, M&amp;E unit and safeguard through the fasts, safest and appropriate channel, not waiting for the formal report, so that prompt action can be taken. </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color w:val="000000"/>
        </w:rPr>
        <w:t>The World Bank will also engage with the TPM firm directly at times, such as during supervision missions or technical discussions on methodology. Close collaboration is encouraged, but the TPM must remain independent in its evaluations.</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color w:val="000000"/>
        </w:rPr>
        <w:t>MFBE (PMU) will review the TPM’s deliverables against quality standards. Key performance indicators for the TPM may include: timely delivery of reports, quality and usefulness of findings (evidence-based and lead to actions); coverage achieved versus planned, and feedback from project stakeholders on the TPM’s conduct (e.g. the professionalism of the company, gender balance of the field teams, and treatment of the field teams with the communities). If performance is found lacking and a relevant serous CONCERN being received, MFBE reserves the right to not extend the contract or to invoke penalty clauses as per the agreement. Conversely, exceptional performance will be a basis for renewal and possibly expansion of scope if needed.</w:t>
      </w:r>
    </w:p>
    <w:p w:rsidR="007229FF" w:rsidRPr="007229FF" w:rsidRDefault="007229FF" w:rsidP="007229FF">
      <w:pPr>
        <w:spacing w:before="180" w:after="180"/>
        <w:jc w:val="both"/>
        <w:rPr>
          <w:rFonts w:asciiTheme="majorHAnsi" w:eastAsia="Calibri" w:hAnsiTheme="majorHAnsi" w:cstheme="majorHAnsi"/>
          <w:color w:val="000000"/>
        </w:rPr>
      </w:pPr>
      <w:r w:rsidRPr="007229FF">
        <w:rPr>
          <w:rFonts w:asciiTheme="majorHAnsi" w:eastAsia="Calibri" w:hAnsiTheme="majorHAnsi" w:cstheme="majorHAnsi"/>
          <w:color w:val="000000"/>
        </w:rPr>
        <w:t xml:space="preserve">Throughout the engagement, the TPM firm will uphold principles of integrity, confidentiality, and professionalism. All team members should sign a code of conduct, especially regarding data confidentiality and ethical behavior in communities. The TPM firm must avoid any conflict </w:t>
      </w:r>
      <w:r w:rsidRPr="007229FF">
        <w:rPr>
          <w:rFonts w:asciiTheme="majorHAnsi" w:eastAsia="Calibri" w:hAnsiTheme="majorHAnsi" w:cstheme="majorHAnsi"/>
          <w:color w:val="000000"/>
        </w:rPr>
        <w:lastRenderedPageBreak/>
        <w:t>of interest, TPM staff cannot be simultaneously employed by any project implementing agency or contractors/suppliers of the project.</w:t>
      </w:r>
      <w:bookmarkStart w:id="4" w:name="bookmark=id.ucfxwihhyb6w" w:colFirst="0" w:colLast="0"/>
      <w:bookmarkEnd w:id="4"/>
    </w:p>
    <w:p w:rsidR="007229FF" w:rsidRPr="007229FF" w:rsidRDefault="007229FF" w:rsidP="007229FF">
      <w:pPr>
        <w:spacing w:before="180" w:after="180"/>
        <w:jc w:val="both"/>
        <w:rPr>
          <w:rFonts w:asciiTheme="majorHAnsi" w:eastAsia="Calibri" w:hAnsiTheme="majorHAnsi" w:cstheme="majorHAnsi"/>
          <w:color w:val="000000"/>
        </w:rPr>
      </w:pPr>
    </w:p>
    <w:p w:rsidR="007229FF" w:rsidRPr="007229FF" w:rsidRDefault="007229FF" w:rsidP="007229FF">
      <w:pPr>
        <w:jc w:val="both"/>
        <w:rPr>
          <w:rFonts w:asciiTheme="majorHAnsi" w:eastAsia="Calibri" w:hAnsiTheme="majorHAnsi" w:cstheme="majorHAnsi"/>
        </w:rPr>
      </w:pPr>
      <w:r w:rsidRPr="007229FF">
        <w:rPr>
          <w:rFonts w:asciiTheme="majorHAnsi" w:hAnsiTheme="majorHAnsi" w:cstheme="majorHAnsi"/>
        </w:rPr>
        <w:br w:type="page"/>
      </w:r>
    </w:p>
    <w:p w:rsidR="007229FF" w:rsidRPr="007229FF" w:rsidRDefault="007229FF" w:rsidP="007229FF">
      <w:pPr>
        <w:spacing w:before="180" w:after="180"/>
        <w:rPr>
          <w:rFonts w:asciiTheme="majorHAnsi" w:eastAsia="Calibri" w:hAnsiTheme="majorHAnsi" w:cstheme="majorHAnsi"/>
          <w:color w:val="000000"/>
        </w:rPr>
      </w:pPr>
      <w:r w:rsidRPr="007229FF">
        <w:rPr>
          <w:rFonts w:asciiTheme="majorHAnsi" w:eastAsia="Calibri" w:hAnsiTheme="majorHAnsi" w:cstheme="majorHAnsi"/>
          <w:color w:val="000000"/>
        </w:rPr>
        <w:lastRenderedPageBreak/>
        <w:t xml:space="preserve">Annex 1: Delivery Breakdown. </w:t>
      </w:r>
    </w:p>
    <w:tbl>
      <w:tblPr>
        <w:tblpPr w:leftFromText="181" w:rightFromText="181" w:vertAnchor="page" w:horzAnchor="margin" w:tblpX="-288" w:tblpY="2246"/>
        <w:tblW w:w="10180" w:type="dxa"/>
        <w:tblLayout w:type="fixed"/>
        <w:tblLook w:val="0400" w:firstRow="0" w:lastRow="0" w:firstColumn="0" w:lastColumn="0" w:noHBand="0" w:noVBand="1"/>
      </w:tblPr>
      <w:tblGrid>
        <w:gridCol w:w="1220"/>
        <w:gridCol w:w="1360"/>
        <w:gridCol w:w="1640"/>
        <w:gridCol w:w="5960"/>
      </w:tblGrid>
      <w:tr w:rsidR="007229FF" w:rsidRPr="007229FF" w:rsidTr="00A17835">
        <w:trPr>
          <w:trHeight w:val="315"/>
        </w:trPr>
        <w:tc>
          <w:tcPr>
            <w:tcW w:w="1220"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spacing w:after="0"/>
              <w:jc w:val="center"/>
              <w:rPr>
                <w:rFonts w:asciiTheme="majorHAnsi" w:eastAsia="Calibri" w:hAnsiTheme="majorHAnsi" w:cstheme="majorHAnsi"/>
                <w:b/>
                <w:bCs/>
                <w:color w:val="FFFF00"/>
              </w:rPr>
            </w:pPr>
            <w:r w:rsidRPr="007229FF">
              <w:rPr>
                <w:rFonts w:asciiTheme="majorHAnsi" w:eastAsia="Calibri" w:hAnsiTheme="majorHAnsi" w:cstheme="majorHAnsi"/>
                <w:b/>
                <w:bCs/>
                <w:color w:val="FFFF00"/>
              </w:rPr>
              <w:t>FY</w:t>
            </w:r>
          </w:p>
        </w:tc>
        <w:tc>
          <w:tcPr>
            <w:tcW w:w="1360" w:type="dxa"/>
            <w:tcBorders>
              <w:top w:val="single" w:sz="4" w:space="0" w:color="000000"/>
              <w:left w:val="nil"/>
              <w:bottom w:val="single" w:sz="4" w:space="0" w:color="000000"/>
              <w:right w:val="single" w:sz="4" w:space="0" w:color="000000"/>
            </w:tcBorders>
            <w:shd w:val="clear" w:color="auto" w:fill="00B0F0"/>
            <w:vAlign w:val="center"/>
          </w:tcPr>
          <w:p w:rsidR="007229FF" w:rsidRPr="007229FF" w:rsidRDefault="007229FF" w:rsidP="00A17835">
            <w:pPr>
              <w:spacing w:after="0"/>
              <w:jc w:val="center"/>
              <w:rPr>
                <w:rFonts w:asciiTheme="majorHAnsi" w:eastAsia="Calibri" w:hAnsiTheme="majorHAnsi" w:cstheme="majorHAnsi"/>
                <w:b/>
                <w:bCs/>
                <w:color w:val="FFFF00"/>
              </w:rPr>
            </w:pPr>
            <w:r w:rsidRPr="007229FF">
              <w:rPr>
                <w:rFonts w:asciiTheme="majorHAnsi" w:eastAsia="Calibri" w:hAnsiTheme="majorHAnsi" w:cstheme="majorHAnsi"/>
                <w:b/>
                <w:bCs/>
                <w:color w:val="FFFF00"/>
              </w:rPr>
              <w:t>Quarter</w:t>
            </w:r>
          </w:p>
        </w:tc>
        <w:tc>
          <w:tcPr>
            <w:tcW w:w="1640" w:type="dxa"/>
            <w:tcBorders>
              <w:top w:val="single" w:sz="4" w:space="0" w:color="000000"/>
              <w:left w:val="nil"/>
              <w:bottom w:val="single" w:sz="4" w:space="0" w:color="000000"/>
              <w:right w:val="single" w:sz="4" w:space="0" w:color="000000"/>
            </w:tcBorders>
            <w:shd w:val="clear" w:color="auto" w:fill="00B0F0"/>
            <w:vAlign w:val="center"/>
          </w:tcPr>
          <w:p w:rsidR="007229FF" w:rsidRPr="007229FF" w:rsidRDefault="007229FF" w:rsidP="00A17835">
            <w:pPr>
              <w:spacing w:after="0"/>
              <w:jc w:val="center"/>
              <w:rPr>
                <w:rFonts w:asciiTheme="majorHAnsi" w:eastAsia="Calibri" w:hAnsiTheme="majorHAnsi" w:cstheme="majorHAnsi"/>
                <w:b/>
                <w:bCs/>
                <w:color w:val="FFFF00"/>
              </w:rPr>
            </w:pPr>
            <w:r w:rsidRPr="007229FF">
              <w:rPr>
                <w:rFonts w:asciiTheme="majorHAnsi" w:eastAsia="Calibri" w:hAnsiTheme="majorHAnsi" w:cstheme="majorHAnsi"/>
                <w:b/>
                <w:bCs/>
                <w:color w:val="FFFF00"/>
              </w:rPr>
              <w:t>Delivery ID</w:t>
            </w:r>
          </w:p>
        </w:tc>
        <w:tc>
          <w:tcPr>
            <w:tcW w:w="5960" w:type="dxa"/>
            <w:tcBorders>
              <w:top w:val="single" w:sz="4" w:space="0" w:color="000000"/>
              <w:left w:val="nil"/>
              <w:bottom w:val="single" w:sz="4" w:space="0" w:color="000000"/>
              <w:right w:val="single" w:sz="4" w:space="0" w:color="000000"/>
            </w:tcBorders>
            <w:shd w:val="clear" w:color="auto" w:fill="00B0F0"/>
            <w:vAlign w:val="center"/>
          </w:tcPr>
          <w:p w:rsidR="007229FF" w:rsidRPr="007229FF" w:rsidRDefault="007229FF" w:rsidP="00A17835">
            <w:pPr>
              <w:spacing w:after="0"/>
              <w:jc w:val="center"/>
              <w:rPr>
                <w:rFonts w:asciiTheme="majorHAnsi" w:eastAsia="Calibri" w:hAnsiTheme="majorHAnsi" w:cstheme="majorHAnsi"/>
                <w:b/>
                <w:bCs/>
                <w:color w:val="FFFF00"/>
              </w:rPr>
            </w:pPr>
            <w:r w:rsidRPr="007229FF">
              <w:rPr>
                <w:rFonts w:asciiTheme="majorHAnsi" w:eastAsia="Calibri" w:hAnsiTheme="majorHAnsi" w:cstheme="majorHAnsi"/>
                <w:b/>
                <w:bCs/>
                <w:color w:val="FFFF00"/>
              </w:rPr>
              <w:t>Delivery Name</w:t>
            </w:r>
          </w:p>
        </w:tc>
      </w:tr>
      <w:tr w:rsidR="007229FF" w:rsidRPr="007229FF" w:rsidTr="00A17835">
        <w:trPr>
          <w:trHeight w:val="300"/>
        </w:trPr>
        <w:tc>
          <w:tcPr>
            <w:tcW w:w="1220" w:type="dxa"/>
            <w:vMerge w:val="restart"/>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spacing w:after="0"/>
              <w:jc w:val="center"/>
              <w:rPr>
                <w:rFonts w:asciiTheme="majorHAnsi" w:eastAsia="Calibri" w:hAnsiTheme="majorHAnsi" w:cstheme="majorHAnsi"/>
                <w:b/>
                <w:bCs/>
                <w:color w:val="000000"/>
              </w:rPr>
            </w:pPr>
            <w:r w:rsidRPr="007229FF">
              <w:rPr>
                <w:rFonts w:asciiTheme="majorHAnsi" w:eastAsia="Calibri" w:hAnsiTheme="majorHAnsi" w:cstheme="majorHAnsi"/>
                <w:b/>
                <w:bCs/>
                <w:color w:val="000000"/>
              </w:rPr>
              <w:t>FY26</w:t>
            </w:r>
          </w:p>
        </w:tc>
        <w:tc>
          <w:tcPr>
            <w:tcW w:w="1360" w:type="dxa"/>
            <w:tcBorders>
              <w:top w:val="nil"/>
              <w:left w:val="nil"/>
              <w:bottom w:val="single" w:sz="4" w:space="0" w:color="000000"/>
              <w:right w:val="single" w:sz="4" w:space="0" w:color="000000"/>
            </w:tcBorders>
            <w:vAlign w:val="center"/>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Quarter 1</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Inception Report</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2</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D2A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D2B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 xml:space="preserve">Output and Outcome Monitoring (OOM) </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D2C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D2D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3</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D3A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D3B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D3C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D3D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4</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D4A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D4B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D4C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F4B084"/>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D4D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0180" w:type="dxa"/>
            <w:gridSpan w:val="4"/>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b/>
                <w:bCs/>
                <w:color w:val="000000"/>
              </w:rPr>
            </w:pPr>
            <w:r w:rsidRPr="007229FF">
              <w:rPr>
                <w:rFonts w:asciiTheme="majorHAnsi" w:eastAsia="Times New Roman" w:hAnsiTheme="majorHAnsi" w:cstheme="majorHAnsi"/>
                <w:b/>
                <w:bCs/>
                <w:sz w:val="22"/>
                <w:szCs w:val="22"/>
              </w:rPr>
              <w:t>FY- 26 Bi-annual bank review missions</w:t>
            </w:r>
          </w:p>
        </w:tc>
      </w:tr>
      <w:tr w:rsidR="007229FF" w:rsidRPr="007229FF" w:rsidTr="00A17835">
        <w:trPr>
          <w:trHeight w:val="300"/>
        </w:trPr>
        <w:tc>
          <w:tcPr>
            <w:tcW w:w="1220" w:type="dxa"/>
            <w:vMerge w:val="restart"/>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spacing w:after="0"/>
              <w:jc w:val="center"/>
              <w:rPr>
                <w:rFonts w:asciiTheme="majorHAnsi" w:eastAsia="Calibri" w:hAnsiTheme="majorHAnsi" w:cstheme="majorHAnsi"/>
                <w:b/>
                <w:bCs/>
                <w:color w:val="000000"/>
              </w:rPr>
            </w:pPr>
            <w:r w:rsidRPr="007229FF">
              <w:rPr>
                <w:rFonts w:asciiTheme="majorHAnsi" w:eastAsia="Calibri" w:hAnsiTheme="majorHAnsi" w:cstheme="majorHAnsi"/>
                <w:b/>
                <w:bCs/>
                <w:color w:val="000000"/>
              </w:rPr>
              <w:t>FY27</w:t>
            </w: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5</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D5A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D5B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D5C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D5D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6</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D6A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D6B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D6C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D6D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7</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D7A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D7B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D7C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D7D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8</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D8A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D8B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D8C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00B0F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D8D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0180" w:type="dxa"/>
            <w:gridSpan w:val="4"/>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Times New Roman" w:hAnsiTheme="majorHAnsi" w:cstheme="majorHAnsi"/>
                <w:b/>
                <w:bCs/>
                <w:sz w:val="22"/>
                <w:szCs w:val="22"/>
              </w:rPr>
              <w:t>FY- 27 Bi-annual bank review missions &amp; MTR</w:t>
            </w:r>
          </w:p>
        </w:tc>
      </w:tr>
      <w:tr w:rsidR="007229FF" w:rsidRPr="007229FF" w:rsidTr="00A17835">
        <w:trPr>
          <w:trHeight w:val="300"/>
        </w:trPr>
        <w:tc>
          <w:tcPr>
            <w:tcW w:w="1220" w:type="dxa"/>
            <w:vMerge w:val="restart"/>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spacing w:after="0"/>
              <w:jc w:val="center"/>
              <w:rPr>
                <w:rFonts w:asciiTheme="majorHAnsi" w:eastAsia="Calibri" w:hAnsiTheme="majorHAnsi" w:cstheme="majorHAnsi"/>
                <w:b/>
                <w:bCs/>
                <w:color w:val="000000"/>
              </w:rPr>
            </w:pPr>
            <w:r w:rsidRPr="007229FF">
              <w:rPr>
                <w:rFonts w:asciiTheme="majorHAnsi" w:eastAsia="Calibri" w:hAnsiTheme="majorHAnsi" w:cstheme="majorHAnsi"/>
                <w:b/>
                <w:bCs/>
                <w:color w:val="000000"/>
              </w:rPr>
              <w:t>FY28</w:t>
            </w: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9</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D9A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D9B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D9C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D9D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10</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D10A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D10B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D10C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D10D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11</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D11A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D11B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D11C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D11D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12</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D12A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D12B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D12C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BF8F00"/>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D12D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0180" w:type="dxa"/>
            <w:gridSpan w:val="4"/>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Times New Roman" w:hAnsiTheme="majorHAnsi" w:cstheme="majorHAnsi"/>
                <w:b/>
                <w:bCs/>
                <w:sz w:val="22"/>
                <w:szCs w:val="22"/>
              </w:rPr>
              <w:t>FY- 28 Bi-annual bank review missions</w:t>
            </w:r>
          </w:p>
        </w:tc>
      </w:tr>
      <w:tr w:rsidR="007229FF" w:rsidRPr="007229FF" w:rsidTr="00A17835">
        <w:trPr>
          <w:trHeight w:val="300"/>
        </w:trPr>
        <w:tc>
          <w:tcPr>
            <w:tcW w:w="1220" w:type="dxa"/>
            <w:vMerge w:val="restart"/>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spacing w:after="0"/>
              <w:jc w:val="center"/>
              <w:rPr>
                <w:rFonts w:asciiTheme="majorHAnsi" w:eastAsia="Calibri" w:hAnsiTheme="majorHAnsi" w:cstheme="majorHAnsi"/>
                <w:b/>
                <w:bCs/>
                <w:color w:val="000000"/>
              </w:rPr>
            </w:pPr>
            <w:r w:rsidRPr="007229FF">
              <w:rPr>
                <w:rFonts w:asciiTheme="majorHAnsi" w:eastAsia="Calibri" w:hAnsiTheme="majorHAnsi" w:cstheme="majorHAnsi"/>
                <w:b/>
                <w:bCs/>
                <w:color w:val="000000"/>
              </w:rPr>
              <w:t>FY29</w:t>
            </w: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13</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D13A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D13B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D13C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D13D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14</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D14A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D14B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D14C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D14D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15</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D15A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D15B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D15C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D15D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16</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D16A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D16B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D16C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A9D08E"/>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D16D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0180" w:type="dxa"/>
            <w:gridSpan w:val="4"/>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Times New Roman" w:hAnsiTheme="majorHAnsi" w:cstheme="majorHAnsi"/>
                <w:b/>
                <w:bCs/>
                <w:sz w:val="22"/>
                <w:szCs w:val="22"/>
              </w:rPr>
              <w:t>FY- 29 Bi-annual bank review missions</w:t>
            </w:r>
          </w:p>
        </w:tc>
      </w:tr>
      <w:tr w:rsidR="007229FF" w:rsidRPr="007229FF" w:rsidTr="00A17835">
        <w:trPr>
          <w:trHeight w:val="300"/>
        </w:trPr>
        <w:tc>
          <w:tcPr>
            <w:tcW w:w="1220" w:type="dxa"/>
            <w:vMerge w:val="restart"/>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spacing w:after="0"/>
              <w:rPr>
                <w:rFonts w:asciiTheme="majorHAnsi" w:eastAsia="Calibri" w:hAnsiTheme="majorHAnsi" w:cstheme="majorHAnsi"/>
                <w:b/>
                <w:bCs/>
                <w:color w:val="000000"/>
              </w:rPr>
            </w:pPr>
            <w:r w:rsidRPr="007229FF">
              <w:rPr>
                <w:rFonts w:asciiTheme="majorHAnsi" w:eastAsia="Calibri" w:hAnsiTheme="majorHAnsi" w:cstheme="majorHAnsi"/>
                <w:b/>
                <w:bCs/>
                <w:color w:val="000000"/>
              </w:rPr>
              <w:t xml:space="preserve">   FY30</w:t>
            </w: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17</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D17A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D17B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D17C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D17D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val="restart"/>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jc w:val="center"/>
              <w:rPr>
                <w:rFonts w:asciiTheme="majorHAnsi" w:eastAsia="Calibri" w:hAnsiTheme="majorHAnsi" w:cstheme="majorHAnsi"/>
                <w:color w:val="000000"/>
              </w:rPr>
            </w:pPr>
            <w:r w:rsidRPr="007229FF">
              <w:rPr>
                <w:rFonts w:asciiTheme="majorHAnsi" w:eastAsia="Calibri" w:hAnsiTheme="majorHAnsi" w:cstheme="majorHAnsi"/>
                <w:color w:val="000000"/>
              </w:rPr>
              <w:t>Quarter 18</w:t>
            </w: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D18A</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Process Monitoring (PM)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D18B</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Output and Outcome Monitoring (OOM)</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D18C</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Evidence and Documentation Submission (EDS)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360" w:type="dxa"/>
            <w:vMerge/>
            <w:tcBorders>
              <w:top w:val="nil"/>
              <w:left w:val="single" w:sz="4" w:space="0" w:color="000000"/>
              <w:bottom w:val="single" w:sz="4" w:space="0" w:color="000000"/>
              <w:right w:val="single" w:sz="4" w:space="0" w:color="000000"/>
            </w:tcBorders>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164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D18D</w:t>
            </w:r>
          </w:p>
        </w:tc>
        <w:tc>
          <w:tcPr>
            <w:tcW w:w="5960" w:type="dxa"/>
            <w:tcBorders>
              <w:top w:val="nil"/>
              <w:left w:val="nil"/>
              <w:bottom w:val="single" w:sz="4" w:space="0" w:color="000000"/>
              <w:right w:val="single" w:sz="4" w:space="0" w:color="000000"/>
            </w:tcBorders>
            <w:vAlign w:val="bottom"/>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Calibri" w:hAnsiTheme="majorHAnsi" w:cstheme="majorHAnsi"/>
                <w:color w:val="000000"/>
              </w:rPr>
              <w:t>Reporting, Communication, and Decision Support (RCDS)</w:t>
            </w:r>
          </w:p>
        </w:tc>
      </w:tr>
      <w:tr w:rsidR="007229FF" w:rsidRPr="007229FF" w:rsidTr="00A17835">
        <w:trPr>
          <w:trHeight w:val="300"/>
        </w:trPr>
        <w:tc>
          <w:tcPr>
            <w:tcW w:w="1220" w:type="dxa"/>
            <w:vMerge/>
            <w:tcBorders>
              <w:top w:val="nil"/>
              <w:left w:val="single" w:sz="4" w:space="0" w:color="000000"/>
              <w:bottom w:val="single" w:sz="4" w:space="0" w:color="000000"/>
              <w:right w:val="single" w:sz="4" w:space="0" w:color="000000"/>
            </w:tcBorders>
            <w:shd w:val="clear" w:color="auto" w:fill="8EA9DB"/>
            <w:vAlign w:val="center"/>
          </w:tcPr>
          <w:p w:rsidR="007229FF" w:rsidRPr="007229FF" w:rsidRDefault="007229FF" w:rsidP="00A17835">
            <w:pPr>
              <w:widowControl w:val="0"/>
              <w:spacing w:after="0" w:line="276" w:lineRule="auto"/>
              <w:rPr>
                <w:rFonts w:asciiTheme="majorHAnsi" w:eastAsia="Calibri" w:hAnsiTheme="majorHAnsi" w:cstheme="majorHAnsi"/>
                <w:color w:val="000000"/>
              </w:rPr>
            </w:pPr>
          </w:p>
        </w:tc>
        <w:tc>
          <w:tcPr>
            <w:tcW w:w="8960" w:type="dxa"/>
            <w:gridSpan w:val="3"/>
            <w:tcBorders>
              <w:top w:val="nil"/>
              <w:left w:val="single" w:sz="4" w:space="0" w:color="000000"/>
              <w:bottom w:val="single" w:sz="4" w:space="0" w:color="000000"/>
              <w:right w:val="single" w:sz="4" w:space="0" w:color="000000"/>
            </w:tcBorders>
            <w:vAlign w:val="center"/>
          </w:tcPr>
          <w:p w:rsidR="007229FF" w:rsidRPr="007229FF" w:rsidRDefault="007229FF" w:rsidP="00A17835">
            <w:pPr>
              <w:spacing w:after="0"/>
              <w:rPr>
                <w:rFonts w:asciiTheme="majorHAnsi" w:eastAsia="Calibri" w:hAnsiTheme="majorHAnsi" w:cstheme="majorHAnsi"/>
                <w:color w:val="000000"/>
              </w:rPr>
            </w:pPr>
            <w:r w:rsidRPr="007229FF">
              <w:rPr>
                <w:rFonts w:asciiTheme="majorHAnsi" w:eastAsia="Times New Roman" w:hAnsiTheme="majorHAnsi" w:cstheme="majorHAnsi"/>
                <w:b/>
                <w:bCs/>
                <w:sz w:val="22"/>
                <w:szCs w:val="22"/>
              </w:rPr>
              <w:t xml:space="preserve">                                           FY- 30 Bi-annual bank review missions </w:t>
            </w:r>
          </w:p>
        </w:tc>
      </w:tr>
    </w:tbl>
    <w:p w:rsidR="007229FF" w:rsidRPr="007229FF" w:rsidRDefault="007229FF" w:rsidP="007229FF">
      <w:pPr>
        <w:spacing w:before="180" w:after="180"/>
        <w:rPr>
          <w:rFonts w:asciiTheme="majorHAnsi" w:eastAsia="Calibri" w:hAnsiTheme="majorHAnsi" w:cstheme="majorHAnsi"/>
          <w:color w:val="000000"/>
        </w:rPr>
      </w:pPr>
    </w:p>
    <w:p w:rsidR="007229FF" w:rsidRPr="007229FF" w:rsidRDefault="007229FF" w:rsidP="007229FF">
      <w:pPr>
        <w:spacing w:before="180" w:after="180"/>
        <w:rPr>
          <w:rFonts w:asciiTheme="majorHAnsi" w:eastAsia="Calibri" w:hAnsiTheme="majorHAnsi" w:cstheme="majorHAnsi"/>
          <w:color w:val="000000"/>
        </w:rPr>
      </w:pPr>
      <w:r w:rsidRPr="007229FF">
        <w:rPr>
          <w:rFonts w:asciiTheme="majorHAnsi" w:eastAsia="Calibri" w:hAnsiTheme="majorHAnsi" w:cstheme="majorHAnsi"/>
          <w:color w:val="000000"/>
        </w:rPr>
        <w:t xml:space="preserve">Annex 2: Budget Breakdown. </w:t>
      </w: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127"/>
        <w:gridCol w:w="2126"/>
        <w:gridCol w:w="1984"/>
      </w:tblGrid>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FY</w:t>
            </w:r>
          </w:p>
        </w:tc>
        <w:tc>
          <w:tcPr>
            <w:tcW w:w="2127" w:type="dxa"/>
            <w:vAlign w:val="bottom"/>
          </w:tcPr>
          <w:p w:rsidR="007229FF" w:rsidRPr="007229FF" w:rsidRDefault="007229FF" w:rsidP="00A17835">
            <w:pPr>
              <w:spacing w:after="0"/>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Quarter</w:t>
            </w:r>
          </w:p>
        </w:tc>
        <w:tc>
          <w:tcPr>
            <w:tcW w:w="2126" w:type="dxa"/>
            <w:vAlign w:val="bottom"/>
          </w:tcPr>
          <w:p w:rsidR="007229FF" w:rsidRPr="007229FF" w:rsidRDefault="007229FF" w:rsidP="00A17835">
            <w:pPr>
              <w:spacing w:after="0"/>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Delivery</w:t>
            </w:r>
          </w:p>
        </w:tc>
        <w:tc>
          <w:tcPr>
            <w:tcW w:w="1984" w:type="dxa"/>
            <w:vAlign w:val="bottom"/>
          </w:tcPr>
          <w:p w:rsidR="007229FF" w:rsidRPr="007229FF" w:rsidRDefault="007229FF" w:rsidP="00A17835">
            <w:pPr>
              <w:spacing w:after="0"/>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Payment (%)</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FY26</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1</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FY26</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2</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D2A - D2D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FY26</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3</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D3A - D3D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FY26</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4</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D4A - D4D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5949" w:type="dxa"/>
            <w:gridSpan w:val="3"/>
            <w:vAlign w:val="bottom"/>
          </w:tcPr>
          <w:p w:rsidR="007229FF" w:rsidRPr="007229FF" w:rsidRDefault="007229FF" w:rsidP="00A17835">
            <w:pPr>
              <w:spacing w:after="0"/>
              <w:jc w:val="center"/>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 xml:space="preserve">FY 2026 </w:t>
            </w:r>
          </w:p>
        </w:tc>
        <w:tc>
          <w:tcPr>
            <w:tcW w:w="1984" w:type="dxa"/>
            <w:vAlign w:val="bottom"/>
          </w:tcPr>
          <w:p w:rsidR="007229FF" w:rsidRPr="007229FF" w:rsidRDefault="007229FF" w:rsidP="00A17835">
            <w:pPr>
              <w:spacing w:after="0"/>
              <w:jc w:val="right"/>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20%</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FY27</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1</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D5A - D5D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FY27</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2</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D6A - D6D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lastRenderedPageBreak/>
              <w:t>FY27</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3</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D7A - D7D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FY27</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4</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D8A - D8D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5949" w:type="dxa"/>
            <w:gridSpan w:val="3"/>
            <w:vAlign w:val="bottom"/>
          </w:tcPr>
          <w:p w:rsidR="007229FF" w:rsidRPr="007229FF" w:rsidRDefault="007229FF" w:rsidP="00A17835">
            <w:pPr>
              <w:spacing w:after="0"/>
              <w:jc w:val="center"/>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FY 2027</w:t>
            </w:r>
          </w:p>
        </w:tc>
        <w:tc>
          <w:tcPr>
            <w:tcW w:w="1984" w:type="dxa"/>
            <w:vAlign w:val="bottom"/>
          </w:tcPr>
          <w:p w:rsidR="007229FF" w:rsidRPr="007229FF" w:rsidRDefault="007229FF" w:rsidP="00A17835">
            <w:pPr>
              <w:spacing w:after="0"/>
              <w:jc w:val="right"/>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40%</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FY28</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1</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D9A - D9D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FY28</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2</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D10A - D10D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FY28</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3</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D11A - D11D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FY28</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4</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D12A - D12D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5949" w:type="dxa"/>
            <w:gridSpan w:val="3"/>
            <w:vAlign w:val="bottom"/>
          </w:tcPr>
          <w:p w:rsidR="007229FF" w:rsidRPr="007229FF" w:rsidRDefault="007229FF" w:rsidP="00A17835">
            <w:pPr>
              <w:spacing w:after="0"/>
              <w:jc w:val="center"/>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FY 2028</w:t>
            </w:r>
          </w:p>
        </w:tc>
        <w:tc>
          <w:tcPr>
            <w:tcW w:w="1984" w:type="dxa"/>
            <w:vAlign w:val="bottom"/>
          </w:tcPr>
          <w:p w:rsidR="007229FF" w:rsidRPr="007229FF" w:rsidRDefault="007229FF" w:rsidP="00A17835">
            <w:pPr>
              <w:spacing w:after="0"/>
              <w:jc w:val="right"/>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60%</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FY29</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1</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D13A - D13D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FY29</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2</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D14A - D14D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FY29</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3</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D15A - D15D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FY29</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4</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D16A - D16D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5949" w:type="dxa"/>
            <w:gridSpan w:val="3"/>
            <w:vAlign w:val="bottom"/>
          </w:tcPr>
          <w:p w:rsidR="007229FF" w:rsidRPr="007229FF" w:rsidRDefault="007229FF" w:rsidP="00A17835">
            <w:pPr>
              <w:spacing w:after="0"/>
              <w:jc w:val="center"/>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FY 2029</w:t>
            </w:r>
          </w:p>
        </w:tc>
        <w:tc>
          <w:tcPr>
            <w:tcW w:w="1984" w:type="dxa"/>
            <w:vAlign w:val="bottom"/>
          </w:tcPr>
          <w:p w:rsidR="007229FF" w:rsidRPr="007229FF" w:rsidRDefault="007229FF" w:rsidP="00A17835">
            <w:pPr>
              <w:spacing w:after="0"/>
              <w:jc w:val="right"/>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80%</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FY30</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1</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D17A - D17D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169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FY30</w:t>
            </w:r>
          </w:p>
        </w:tc>
        <w:tc>
          <w:tcPr>
            <w:tcW w:w="2127"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Quarter 2</w:t>
            </w:r>
          </w:p>
        </w:tc>
        <w:tc>
          <w:tcPr>
            <w:tcW w:w="2126" w:type="dxa"/>
            <w:vAlign w:val="bottom"/>
          </w:tcPr>
          <w:p w:rsidR="007229FF" w:rsidRPr="007229FF" w:rsidRDefault="007229FF" w:rsidP="00A17835">
            <w:pPr>
              <w:spacing w:after="0"/>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D18A - D18D</w:t>
            </w:r>
          </w:p>
        </w:tc>
        <w:tc>
          <w:tcPr>
            <w:tcW w:w="1984" w:type="dxa"/>
            <w:vAlign w:val="bottom"/>
          </w:tcPr>
          <w:p w:rsidR="007229FF" w:rsidRPr="007229FF" w:rsidRDefault="007229FF" w:rsidP="00A17835">
            <w:pPr>
              <w:spacing w:after="0"/>
              <w:jc w:val="right"/>
              <w:rPr>
                <w:rFonts w:asciiTheme="majorHAnsi" w:eastAsia="Calibri" w:hAnsiTheme="majorHAnsi" w:cstheme="majorHAnsi"/>
                <w:color w:val="000000"/>
                <w:sz w:val="22"/>
                <w:szCs w:val="22"/>
              </w:rPr>
            </w:pPr>
            <w:r w:rsidRPr="007229FF">
              <w:rPr>
                <w:rFonts w:asciiTheme="majorHAnsi" w:eastAsia="Calibri" w:hAnsiTheme="majorHAnsi" w:cstheme="majorHAnsi"/>
                <w:color w:val="000000"/>
                <w:sz w:val="22"/>
                <w:szCs w:val="22"/>
              </w:rPr>
              <w:t>5%</w:t>
            </w:r>
          </w:p>
        </w:tc>
      </w:tr>
      <w:tr w:rsidR="007229FF" w:rsidRPr="007229FF" w:rsidTr="00A17835">
        <w:trPr>
          <w:trHeight w:val="300"/>
        </w:trPr>
        <w:tc>
          <w:tcPr>
            <w:tcW w:w="5949" w:type="dxa"/>
            <w:gridSpan w:val="3"/>
            <w:vAlign w:val="bottom"/>
          </w:tcPr>
          <w:p w:rsidR="007229FF" w:rsidRPr="007229FF" w:rsidRDefault="007229FF" w:rsidP="00A17835">
            <w:pPr>
              <w:spacing w:after="0"/>
              <w:jc w:val="center"/>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FY 2030</w:t>
            </w:r>
          </w:p>
        </w:tc>
        <w:tc>
          <w:tcPr>
            <w:tcW w:w="1984" w:type="dxa"/>
            <w:vAlign w:val="bottom"/>
          </w:tcPr>
          <w:p w:rsidR="007229FF" w:rsidRPr="007229FF" w:rsidRDefault="007229FF" w:rsidP="00A17835">
            <w:pPr>
              <w:spacing w:after="0"/>
              <w:jc w:val="right"/>
              <w:rPr>
                <w:rFonts w:asciiTheme="majorHAnsi" w:eastAsia="Calibri" w:hAnsiTheme="majorHAnsi" w:cstheme="majorHAnsi"/>
                <w:b/>
                <w:bCs/>
                <w:color w:val="000000"/>
                <w:sz w:val="22"/>
                <w:szCs w:val="22"/>
              </w:rPr>
            </w:pPr>
            <w:r w:rsidRPr="007229FF">
              <w:rPr>
                <w:rFonts w:asciiTheme="majorHAnsi" w:eastAsia="Calibri" w:hAnsiTheme="majorHAnsi" w:cstheme="majorHAnsi"/>
                <w:b/>
                <w:bCs/>
                <w:color w:val="000000"/>
                <w:sz w:val="22"/>
                <w:szCs w:val="22"/>
              </w:rPr>
              <w:t>100%</w:t>
            </w:r>
            <w:bookmarkStart w:id="5" w:name="_GoBack"/>
            <w:bookmarkEnd w:id="5"/>
          </w:p>
        </w:tc>
      </w:tr>
    </w:tbl>
    <w:p w:rsidR="007229FF" w:rsidRPr="007229FF" w:rsidRDefault="007229FF" w:rsidP="007229FF">
      <w:pPr>
        <w:spacing w:before="180" w:after="180"/>
        <w:rPr>
          <w:rFonts w:asciiTheme="majorHAnsi" w:eastAsia="Calibri" w:hAnsiTheme="majorHAnsi" w:cstheme="majorHAnsi"/>
          <w:color w:val="000000"/>
        </w:rPr>
      </w:pPr>
    </w:p>
    <w:p w:rsidR="007229FF" w:rsidRPr="007229FF" w:rsidRDefault="007229FF" w:rsidP="007229FF">
      <w:pPr>
        <w:pStyle w:val="NormalWeb"/>
        <w:rPr>
          <w:rFonts w:asciiTheme="majorHAnsi" w:hAnsiTheme="majorHAnsi" w:cstheme="majorHAnsi"/>
        </w:rPr>
      </w:pPr>
    </w:p>
    <w:p w:rsidR="007229FF" w:rsidRPr="007229FF" w:rsidRDefault="007229FF" w:rsidP="000C3DA0">
      <w:pPr>
        <w:spacing w:after="0" w:line="276" w:lineRule="auto"/>
        <w:rPr>
          <w:rFonts w:asciiTheme="majorHAnsi" w:hAnsiTheme="majorHAnsi" w:cstheme="majorHAnsi"/>
          <w:bCs/>
          <w:color w:val="000000"/>
          <w:lang w:val="en-GB"/>
        </w:rPr>
      </w:pPr>
    </w:p>
    <w:sectPr w:rsidR="007229FF" w:rsidRPr="007229FF" w:rsidSect="007229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Play">
    <w:altName w:val="Times New Roman"/>
    <w:charset w:val="00"/>
    <w:family w:val="auto"/>
    <w:pitch w:val="default"/>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25BAF"/>
    <w:multiLevelType w:val="hybridMultilevel"/>
    <w:tmpl w:val="0CFA3046"/>
    <w:lvl w:ilvl="0" w:tplc="27C87588">
      <w:start w:val="1"/>
      <w:numFmt w:val="lowerRoman"/>
      <w:lvlText w:val="(%1)."/>
      <w:lvlJc w:val="left"/>
      <w:pPr>
        <w:ind w:left="720" w:hanging="60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9C335D"/>
    <w:multiLevelType w:val="hybridMultilevel"/>
    <w:tmpl w:val="8164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4772D"/>
    <w:multiLevelType w:val="hybridMultilevel"/>
    <w:tmpl w:val="3F9487AA"/>
    <w:lvl w:ilvl="0" w:tplc="23BC6414">
      <w:start w:val="1"/>
      <w:numFmt w:val="decimal"/>
      <w:lvlText w:val="%1."/>
      <w:lvlJc w:val="left"/>
      <w:pPr>
        <w:ind w:left="1495" w:hanging="360"/>
      </w:pPr>
      <w:rPr>
        <w:b/>
      </w:rPr>
    </w:lvl>
    <w:lvl w:ilvl="1" w:tplc="FCD64942">
      <w:start w:val="1"/>
      <w:numFmt w:val="bullet"/>
      <w:lvlText w:val=""/>
      <w:lvlJc w:val="left"/>
      <w:pPr>
        <w:ind w:left="2215" w:hanging="360"/>
      </w:pPr>
      <w:rPr>
        <w:rFonts w:ascii="Wingdings" w:hAnsi="Wingdings" w:hint="default"/>
      </w:rPr>
    </w:lvl>
    <w:lvl w:ilvl="2" w:tplc="B83EC6F2" w:tentative="1">
      <w:start w:val="1"/>
      <w:numFmt w:val="lowerRoman"/>
      <w:lvlText w:val="%3."/>
      <w:lvlJc w:val="right"/>
      <w:pPr>
        <w:ind w:left="2935" w:hanging="180"/>
      </w:pPr>
    </w:lvl>
    <w:lvl w:ilvl="3" w:tplc="C416FA1E" w:tentative="1">
      <w:start w:val="1"/>
      <w:numFmt w:val="decimal"/>
      <w:lvlText w:val="%4."/>
      <w:lvlJc w:val="left"/>
      <w:pPr>
        <w:ind w:left="3655" w:hanging="360"/>
      </w:pPr>
    </w:lvl>
    <w:lvl w:ilvl="4" w:tplc="F85C99AA" w:tentative="1">
      <w:start w:val="1"/>
      <w:numFmt w:val="lowerLetter"/>
      <w:lvlText w:val="%5."/>
      <w:lvlJc w:val="left"/>
      <w:pPr>
        <w:ind w:left="4375" w:hanging="360"/>
      </w:pPr>
    </w:lvl>
    <w:lvl w:ilvl="5" w:tplc="B76E728C" w:tentative="1">
      <w:start w:val="1"/>
      <w:numFmt w:val="lowerRoman"/>
      <w:lvlText w:val="%6."/>
      <w:lvlJc w:val="right"/>
      <w:pPr>
        <w:ind w:left="5095" w:hanging="180"/>
      </w:pPr>
    </w:lvl>
    <w:lvl w:ilvl="6" w:tplc="00DEC318" w:tentative="1">
      <w:start w:val="1"/>
      <w:numFmt w:val="decimal"/>
      <w:lvlText w:val="%7."/>
      <w:lvlJc w:val="left"/>
      <w:pPr>
        <w:ind w:left="5815" w:hanging="360"/>
      </w:pPr>
    </w:lvl>
    <w:lvl w:ilvl="7" w:tplc="E736C2D0" w:tentative="1">
      <w:start w:val="1"/>
      <w:numFmt w:val="lowerLetter"/>
      <w:lvlText w:val="%8."/>
      <w:lvlJc w:val="left"/>
      <w:pPr>
        <w:ind w:left="6535" w:hanging="360"/>
      </w:pPr>
    </w:lvl>
    <w:lvl w:ilvl="8" w:tplc="4C769E4E" w:tentative="1">
      <w:start w:val="1"/>
      <w:numFmt w:val="lowerRoman"/>
      <w:lvlText w:val="%9."/>
      <w:lvlJc w:val="right"/>
      <w:pPr>
        <w:ind w:left="7255" w:hanging="180"/>
      </w:pPr>
    </w:lvl>
  </w:abstractNum>
  <w:abstractNum w:abstractNumId="3" w15:restartNumberingAfterBreak="0">
    <w:nsid w:val="15174D58"/>
    <w:multiLevelType w:val="hybridMultilevel"/>
    <w:tmpl w:val="D8945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850D51"/>
    <w:multiLevelType w:val="multilevel"/>
    <w:tmpl w:val="3DD8D1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4B4E80"/>
    <w:multiLevelType w:val="hybridMultilevel"/>
    <w:tmpl w:val="8800DB08"/>
    <w:lvl w:ilvl="0" w:tplc="08090011">
      <w:start w:val="1"/>
      <w:numFmt w:val="decimal"/>
      <w:lvlText w:val="%1)"/>
      <w:lvlJc w:val="left"/>
      <w:pPr>
        <w:ind w:left="720" w:hanging="60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F1468"/>
    <w:multiLevelType w:val="hybridMultilevel"/>
    <w:tmpl w:val="6A0A7DD4"/>
    <w:lvl w:ilvl="0" w:tplc="BAD888E8">
      <w:start w:val="1"/>
      <w:numFmt w:val="bullet"/>
      <w:lvlText w:val="o"/>
      <w:lvlJc w:val="left"/>
      <w:rPr>
        <w:rFonts w:ascii="Courier New" w:hAnsi="Courier New" w:cs="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733624"/>
    <w:multiLevelType w:val="hybridMultilevel"/>
    <w:tmpl w:val="77265F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E725D7"/>
    <w:multiLevelType w:val="hybridMultilevel"/>
    <w:tmpl w:val="3FECA094"/>
    <w:lvl w:ilvl="0" w:tplc="825A2538">
      <w:start w:val="1"/>
      <w:numFmt w:val="lowerRoman"/>
      <w:lvlText w:val="(%1)."/>
      <w:lvlJc w:val="left"/>
      <w:pPr>
        <w:ind w:left="720" w:hanging="663"/>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C3E52"/>
    <w:multiLevelType w:val="hybridMultilevel"/>
    <w:tmpl w:val="2E6C3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B14E8"/>
    <w:multiLevelType w:val="hybridMultilevel"/>
    <w:tmpl w:val="58005E1E"/>
    <w:lvl w:ilvl="0" w:tplc="AED229B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34479FC"/>
    <w:multiLevelType w:val="hybridMultilevel"/>
    <w:tmpl w:val="24EAB0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BCD713D"/>
    <w:multiLevelType w:val="hybridMultilevel"/>
    <w:tmpl w:val="066A7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17282"/>
    <w:multiLevelType w:val="hybridMultilevel"/>
    <w:tmpl w:val="6D62CE1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855CD4"/>
    <w:multiLevelType w:val="hybridMultilevel"/>
    <w:tmpl w:val="E26CF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3E621DD"/>
    <w:multiLevelType w:val="hybridMultilevel"/>
    <w:tmpl w:val="896C5E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B968ED"/>
    <w:multiLevelType w:val="hybridMultilevel"/>
    <w:tmpl w:val="502C3684"/>
    <w:lvl w:ilvl="0" w:tplc="B32AC5E0">
      <w:start w:val="1"/>
      <w:numFmt w:val="low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8F24A3A"/>
    <w:multiLevelType w:val="hybridMultilevel"/>
    <w:tmpl w:val="D85E2DA2"/>
    <w:lvl w:ilvl="0" w:tplc="1BAAD2CA">
      <w:start w:val="1"/>
      <w:numFmt w:val="lowerLetter"/>
      <w:lvlText w:val="%1)"/>
      <w:lvlJc w:val="left"/>
      <w:pPr>
        <w:ind w:left="928" w:hanging="360"/>
      </w:pPr>
      <w:rPr>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8" w15:restartNumberingAfterBreak="0">
    <w:nsid w:val="6F8A3F61"/>
    <w:multiLevelType w:val="multilevel"/>
    <w:tmpl w:val="7C0AFFB0"/>
    <w:lvl w:ilvl="0">
      <w:start w:val="1"/>
      <w:numFmt w:val="lowerLetter"/>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9" w15:restartNumberingAfterBreak="0">
    <w:nsid w:val="6FA8562D"/>
    <w:multiLevelType w:val="multilevel"/>
    <w:tmpl w:val="78B06EC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79B4FFD"/>
    <w:multiLevelType w:val="hybridMultilevel"/>
    <w:tmpl w:val="7BE207E0"/>
    <w:lvl w:ilvl="0" w:tplc="27C87588">
      <w:start w:val="1"/>
      <w:numFmt w:val="lowerRoman"/>
      <w:lvlText w:val="(%1)."/>
      <w:lvlJc w:val="left"/>
      <w:pPr>
        <w:ind w:left="720" w:hanging="60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BE5E15"/>
    <w:multiLevelType w:val="hybridMultilevel"/>
    <w:tmpl w:val="C804DB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14"/>
  </w:num>
  <w:num w:numId="4">
    <w:abstractNumId w:val="10"/>
  </w:num>
  <w:num w:numId="5">
    <w:abstractNumId w:val="3"/>
  </w:num>
  <w:num w:numId="6">
    <w:abstractNumId w:val="2"/>
  </w:num>
  <w:num w:numId="7">
    <w:abstractNumId w:val="15"/>
  </w:num>
  <w:num w:numId="8">
    <w:abstractNumId w:val="13"/>
  </w:num>
  <w:num w:numId="9">
    <w:abstractNumId w:val="17"/>
  </w:num>
  <w:num w:numId="10">
    <w:abstractNumId w:val="7"/>
  </w:num>
  <w:num w:numId="11">
    <w:abstractNumId w:val="21"/>
  </w:num>
  <w:num w:numId="12">
    <w:abstractNumId w:val="6"/>
  </w:num>
  <w:num w:numId="13">
    <w:abstractNumId w:val="20"/>
  </w:num>
  <w:num w:numId="14">
    <w:abstractNumId w:val="9"/>
  </w:num>
  <w:num w:numId="15">
    <w:abstractNumId w:val="19"/>
  </w:num>
  <w:num w:numId="16">
    <w:abstractNumId w:val="18"/>
  </w:num>
  <w:num w:numId="17">
    <w:abstractNumId w:val="4"/>
  </w:num>
  <w:num w:numId="18">
    <w:abstractNumId w:val="12"/>
  </w:num>
  <w:num w:numId="19">
    <w:abstractNumId w:val="1"/>
  </w:num>
  <w:num w:numId="20">
    <w:abstractNumId w:val="0"/>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7B"/>
    <w:rsid w:val="00055D71"/>
    <w:rsid w:val="000C3DA0"/>
    <w:rsid w:val="001946F3"/>
    <w:rsid w:val="00296D7B"/>
    <w:rsid w:val="003E62B9"/>
    <w:rsid w:val="005853CC"/>
    <w:rsid w:val="006528C6"/>
    <w:rsid w:val="00682295"/>
    <w:rsid w:val="007229FF"/>
    <w:rsid w:val="00750FBA"/>
    <w:rsid w:val="00A17835"/>
    <w:rsid w:val="00B67E61"/>
    <w:rsid w:val="00C1524B"/>
    <w:rsid w:val="00D06441"/>
    <w:rsid w:val="00DF489A"/>
    <w:rsid w:val="00E20BEC"/>
    <w:rsid w:val="00F506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8DBB9-3439-4113-BE19-06EBE93F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6D7B"/>
    <w:pPr>
      <w:spacing w:after="200" w:line="240" w:lineRule="auto"/>
    </w:pPr>
    <w:rPr>
      <w:rFonts w:ascii="Aptos" w:eastAsia="Aptos" w:hAnsi="Aptos" w:cs="Aptos"/>
      <w:sz w:val="24"/>
      <w:szCs w:val="24"/>
      <w:lang w:val="en" w:eastAsia="en-GB"/>
    </w:rPr>
  </w:style>
  <w:style w:type="paragraph" w:styleId="Heading1">
    <w:name w:val="heading 1"/>
    <w:basedOn w:val="Normal"/>
    <w:next w:val="Normal"/>
    <w:link w:val="Heading1Char"/>
    <w:uiPriority w:val="9"/>
    <w:qFormat/>
    <w:rsid w:val="00C152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296D7B"/>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rsid w:val="000C3DA0"/>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My Heading 1"/>
    <w:basedOn w:val="Heading1"/>
    <w:next w:val="Normal"/>
    <w:link w:val="SubtitleChar"/>
    <w:autoRedefine/>
    <w:uiPriority w:val="11"/>
    <w:qFormat/>
    <w:rsid w:val="00C1524B"/>
    <w:pPr>
      <w:numPr>
        <w:ilvl w:val="1"/>
      </w:numPr>
      <w:spacing w:before="400" w:after="160" w:line="276" w:lineRule="auto"/>
    </w:pPr>
    <w:rPr>
      <w:rFonts w:ascii="Tw Cen MT" w:eastAsiaTheme="minorEastAsia" w:hAnsi="Tw Cen MT" w:cstheme="minorBidi"/>
      <w:b/>
      <w:color w:val="0070C0"/>
      <w:spacing w:val="15"/>
      <w:sz w:val="28"/>
      <w:szCs w:val="40"/>
    </w:rPr>
  </w:style>
  <w:style w:type="character" w:customStyle="1" w:styleId="SubtitleChar">
    <w:name w:val="Subtitle Char"/>
    <w:aliases w:val="My Heading 1 Char"/>
    <w:basedOn w:val="DefaultParagraphFont"/>
    <w:link w:val="Subtitle"/>
    <w:uiPriority w:val="11"/>
    <w:rsid w:val="00C1524B"/>
    <w:rPr>
      <w:rFonts w:ascii="Tw Cen MT" w:eastAsiaTheme="minorEastAsia" w:hAnsi="Tw Cen MT"/>
      <w:b/>
      <w:color w:val="0070C0"/>
      <w:spacing w:val="15"/>
      <w:sz w:val="28"/>
      <w:szCs w:val="40"/>
      <w:lang w:val="en" w:eastAsia="en-GB"/>
    </w:rPr>
  </w:style>
  <w:style w:type="character" w:customStyle="1" w:styleId="Heading1Char">
    <w:name w:val="Heading 1 Char"/>
    <w:basedOn w:val="DefaultParagraphFont"/>
    <w:link w:val="Heading1"/>
    <w:uiPriority w:val="9"/>
    <w:rsid w:val="00C1524B"/>
    <w:rPr>
      <w:rFonts w:asciiTheme="majorHAnsi" w:eastAsiaTheme="majorEastAsia" w:hAnsiTheme="majorHAnsi" w:cstheme="majorBidi"/>
      <w:color w:val="2E74B5" w:themeColor="accent1" w:themeShade="BF"/>
      <w:sz w:val="32"/>
      <w:szCs w:val="32"/>
    </w:rPr>
  </w:style>
  <w:style w:type="character" w:styleId="SubtleEmphasis">
    <w:name w:val="Subtle Emphasis"/>
    <w:aliases w:val="My Heading 2"/>
    <w:basedOn w:val="DefaultParagraphFont"/>
    <w:uiPriority w:val="19"/>
    <w:qFormat/>
    <w:rsid w:val="00C1524B"/>
    <w:rPr>
      <w:rFonts w:ascii="Tw Cen MT" w:eastAsia="Arial" w:hAnsi="Tw Cen MT" w:cs="Arial"/>
      <w:b/>
      <w:i/>
      <w:iCs/>
      <w:color w:val="000000" w:themeColor="text1"/>
      <w:sz w:val="26"/>
      <w:szCs w:val="32"/>
      <w:lang w:val="en" w:eastAsia="en-GB"/>
    </w:rPr>
  </w:style>
  <w:style w:type="character" w:styleId="Emphasis">
    <w:name w:val="Emphasis"/>
    <w:aliases w:val="My Heading 3"/>
    <w:basedOn w:val="DefaultParagraphFont"/>
    <w:uiPriority w:val="20"/>
    <w:qFormat/>
    <w:rsid w:val="00DF489A"/>
    <w:rPr>
      <w:rFonts w:ascii="Tw Cen MT" w:eastAsia="Arial" w:hAnsi="Tw Cen MT" w:cs="Arial"/>
      <w:i/>
      <w:iCs/>
      <w:color w:val="002060"/>
      <w:sz w:val="24"/>
      <w:szCs w:val="28"/>
      <w:lang w:val="en" w:eastAsia="en-GB"/>
    </w:rPr>
  </w:style>
  <w:style w:type="character" w:customStyle="1" w:styleId="Heading2Char">
    <w:name w:val="Heading 2 Char"/>
    <w:basedOn w:val="DefaultParagraphFont"/>
    <w:link w:val="Heading2"/>
    <w:uiPriority w:val="9"/>
    <w:rsid w:val="00296D7B"/>
    <w:rPr>
      <w:rFonts w:ascii="Play" w:eastAsia="Play" w:hAnsi="Play" w:cs="Play"/>
      <w:color w:val="0F4761"/>
      <w:sz w:val="32"/>
      <w:szCs w:val="32"/>
      <w:lang w:val="en" w:eastAsia="en-GB"/>
    </w:rPr>
  </w:style>
  <w:style w:type="paragraph" w:styleId="ListParagraph">
    <w:name w:val="List Paragraph"/>
    <w:aliases w:val="ANNEX,Bullets,Citation List,Heading3,List Bullet-OpsManual,List Paragraph (numbered (a)),List Paragraph nowy,List Paragraph1,List Paragraph2,List_Paragraph,Liste 1,Multilevel para_II,Normal 2,References,Resume Title,Source,Title Style 1,H"/>
    <w:basedOn w:val="Normal"/>
    <w:link w:val="ListParagraphChar"/>
    <w:uiPriority w:val="34"/>
    <w:qFormat/>
    <w:rsid w:val="00296D7B"/>
    <w:pPr>
      <w:ind w:left="720"/>
      <w:contextualSpacing/>
    </w:pPr>
  </w:style>
  <w:style w:type="paragraph" w:styleId="NormalWeb">
    <w:name w:val="Normal (Web)"/>
    <w:basedOn w:val="Normal"/>
    <w:uiPriority w:val="99"/>
    <w:unhideWhenUsed/>
    <w:rsid w:val="00750FBA"/>
    <w:pPr>
      <w:spacing w:before="100" w:beforeAutospacing="1" w:after="100" w:afterAutospacing="1"/>
    </w:pPr>
    <w:rPr>
      <w:rFonts w:ascii="Times New Roman" w:eastAsia="Times New Roman" w:hAnsi="Times New Roman" w:cs="Times New Roman"/>
      <w:lang w:val="en-GB"/>
    </w:rPr>
  </w:style>
  <w:style w:type="character" w:customStyle="1" w:styleId="ListParagraphChar">
    <w:name w:val="List Paragraph Char"/>
    <w:aliases w:val="ANNEX Char,Bullets Char,Citation List Char,Heading3 Char,List Bullet-OpsManual Char,List Paragraph (numbered (a)) Char,List Paragraph nowy Char,List Paragraph1 Char,List Paragraph2 Char,List_Paragraph Char,Liste 1 Char,Normal 2 Char"/>
    <w:link w:val="ListParagraph"/>
    <w:uiPriority w:val="34"/>
    <w:qFormat/>
    <w:locked/>
    <w:rsid w:val="005853CC"/>
    <w:rPr>
      <w:rFonts w:ascii="Aptos" w:eastAsia="Aptos" w:hAnsi="Aptos" w:cs="Aptos"/>
      <w:sz w:val="24"/>
      <w:szCs w:val="24"/>
      <w:lang w:val="en" w:eastAsia="en-GB"/>
    </w:rPr>
  </w:style>
  <w:style w:type="character" w:customStyle="1" w:styleId="Heading3Char">
    <w:name w:val="Heading 3 Char"/>
    <w:basedOn w:val="DefaultParagraphFont"/>
    <w:link w:val="Heading3"/>
    <w:uiPriority w:val="9"/>
    <w:semiHidden/>
    <w:rsid w:val="000C3DA0"/>
    <w:rPr>
      <w:rFonts w:asciiTheme="majorHAnsi" w:eastAsiaTheme="majorEastAsia" w:hAnsiTheme="majorHAnsi" w:cstheme="majorBidi"/>
      <w:color w:val="1F4D78" w:themeColor="accent1" w:themeShade="7F"/>
      <w:sz w:val="24"/>
      <w:szCs w:val="24"/>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77014">
      <w:bodyDiv w:val="1"/>
      <w:marLeft w:val="0"/>
      <w:marRight w:val="0"/>
      <w:marTop w:val="0"/>
      <w:marBottom w:val="0"/>
      <w:divBdr>
        <w:top w:val="none" w:sz="0" w:space="0" w:color="auto"/>
        <w:left w:val="none" w:sz="0" w:space="0" w:color="auto"/>
        <w:bottom w:val="none" w:sz="0" w:space="0" w:color="auto"/>
        <w:right w:val="none" w:sz="0" w:space="0" w:color="auto"/>
      </w:divBdr>
    </w:div>
    <w:div w:id="651065589">
      <w:bodyDiv w:val="1"/>
      <w:marLeft w:val="0"/>
      <w:marRight w:val="0"/>
      <w:marTop w:val="0"/>
      <w:marBottom w:val="0"/>
      <w:divBdr>
        <w:top w:val="none" w:sz="0" w:space="0" w:color="auto"/>
        <w:left w:val="none" w:sz="0" w:space="0" w:color="auto"/>
        <w:bottom w:val="none" w:sz="0" w:space="0" w:color="auto"/>
        <w:right w:val="none" w:sz="0" w:space="0" w:color="auto"/>
      </w:divBdr>
    </w:div>
    <w:div w:id="822048305">
      <w:bodyDiv w:val="1"/>
      <w:marLeft w:val="0"/>
      <w:marRight w:val="0"/>
      <w:marTop w:val="0"/>
      <w:marBottom w:val="0"/>
      <w:divBdr>
        <w:top w:val="none" w:sz="0" w:space="0" w:color="auto"/>
        <w:left w:val="none" w:sz="0" w:space="0" w:color="auto"/>
        <w:bottom w:val="none" w:sz="0" w:space="0" w:color="auto"/>
        <w:right w:val="none" w:sz="0" w:space="0" w:color="auto"/>
      </w:divBdr>
    </w:div>
    <w:div w:id="1610118401">
      <w:bodyDiv w:val="1"/>
      <w:marLeft w:val="0"/>
      <w:marRight w:val="0"/>
      <w:marTop w:val="0"/>
      <w:marBottom w:val="0"/>
      <w:divBdr>
        <w:top w:val="none" w:sz="0" w:space="0" w:color="auto"/>
        <w:left w:val="none" w:sz="0" w:space="0" w:color="auto"/>
        <w:bottom w:val="none" w:sz="0" w:space="0" w:color="auto"/>
        <w:right w:val="none" w:sz="0" w:space="0" w:color="auto"/>
      </w:divBdr>
    </w:div>
    <w:div w:id="213012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76A7C-DD99-4229-90D7-FB79A35E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6001</Words>
  <Characters>34209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HIREI180</dc:creator>
  <cp:keywords/>
  <dc:description/>
  <cp:lastModifiedBy>Ahmed Bunow</cp:lastModifiedBy>
  <cp:revision>2</cp:revision>
  <dcterms:created xsi:type="dcterms:W3CDTF">2026-03-29T12:21:00Z</dcterms:created>
  <dcterms:modified xsi:type="dcterms:W3CDTF">2026-03-29T12:21:00Z</dcterms:modified>
</cp:coreProperties>
</file>